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B1" w:rsidRPr="007905FC" w:rsidRDefault="003007BB" w:rsidP="00DF44B1">
      <w:pPr>
        <w:pStyle w:val="BPmegszlts"/>
        <w:rPr>
          <w:b w:val="0"/>
        </w:rPr>
      </w:pPr>
      <w:r>
        <w:t xml:space="preserve">Tisztelt </w:t>
      </w:r>
      <w:r w:rsidR="0041243F">
        <w:t>Gerőfi Levente</w:t>
      </w:r>
      <w:r>
        <w:t xml:space="preserve"> </w:t>
      </w:r>
      <w:r w:rsidR="0051661B">
        <w:t>Úr</w:t>
      </w:r>
      <w:r w:rsidR="00DF44B1" w:rsidRPr="007905FC">
        <w:t>!</w:t>
      </w:r>
    </w:p>
    <w:p w:rsidR="00F91D5C" w:rsidRDefault="0041243F" w:rsidP="0027632F">
      <w:pPr>
        <w:pStyle w:val="BPszvegtest"/>
        <w:tabs>
          <w:tab w:val="clear" w:pos="3740"/>
          <w:tab w:val="clear" w:pos="5720"/>
        </w:tabs>
      </w:pPr>
      <w:r>
        <w:t>Ön a Fővárosi Közgyűlés 2012. december 12-én megtartott közmeghallgatását megelőzően kérdéseket intézett a Közgyűléshez, ám a közmeghallgatáson nem vett részt, így engedje meg, hogy felvetéseire – melyeket ezúton is köszönök – írásban válaszoljak.</w:t>
      </w:r>
    </w:p>
    <w:p w:rsidR="00161BDA" w:rsidRPr="00161BDA" w:rsidRDefault="00161BDA" w:rsidP="006C5E10">
      <w:pPr>
        <w:pStyle w:val="BPszvegtest"/>
        <w:rPr>
          <w:b/>
          <w:u w:val="single"/>
        </w:rPr>
      </w:pPr>
      <w:r w:rsidRPr="00161BDA">
        <w:rPr>
          <w:b/>
          <w:u w:val="single"/>
        </w:rPr>
        <w:t>I. Városépítés, városfejlesztés:</w:t>
      </w:r>
    </w:p>
    <w:p w:rsidR="006C5E10" w:rsidRPr="00455882" w:rsidRDefault="006C5E10" w:rsidP="006C5E10">
      <w:pPr>
        <w:pStyle w:val="BPszvegtest"/>
      </w:pPr>
      <w:r w:rsidRPr="00455882">
        <w:t>Az 1998. január elsején hatályba lépett, az épített környezet alakításáról és védelméről szóló 1997. évi LXXVIII. törvény (</w:t>
      </w:r>
      <w:proofErr w:type="spellStart"/>
      <w:r w:rsidRPr="00455882">
        <w:t>Étv</w:t>
      </w:r>
      <w:proofErr w:type="spellEnd"/>
      <w:r w:rsidRPr="00455882">
        <w:t>.), amely az 1964. évi építési törvényt váltotta fel, új fogalmakat vezetett be a településrendezés területén. A korábban általános rendezési tervként ismert tervfajta megfelelőjének a településszerkezeti tervet, az alapterv, illetve a részletes rendezési terv megfelelőjének pedig a helyi építési szabályzatot és szabályozási tervet tekinti (61. §). Ugyanakkor a Fővárosra nézve további speciális tervfajtákat állapított meg, így a fővárosi szabályozási kerettervet és a fővárosi építési keretszabályzat</w:t>
      </w:r>
      <w:r w:rsidR="000E3EC6" w:rsidRPr="00455882">
        <w:t>ot</w:t>
      </w:r>
      <w:r w:rsidRPr="00455882">
        <w:t>.</w:t>
      </w:r>
    </w:p>
    <w:p w:rsidR="006C5E10" w:rsidRPr="00455882" w:rsidRDefault="006C5E10" w:rsidP="006C5E10">
      <w:pPr>
        <w:pStyle w:val="BPszvegtest"/>
      </w:pPr>
      <w:r w:rsidRPr="00455882">
        <w:t xml:space="preserve">A Fővárosi Önkormányzat még az </w:t>
      </w:r>
      <w:proofErr w:type="spellStart"/>
      <w:r w:rsidR="000E3EC6" w:rsidRPr="00455882">
        <w:t>Étv</w:t>
      </w:r>
      <w:proofErr w:type="spellEnd"/>
      <w:r w:rsidR="000E3EC6" w:rsidRPr="00455882">
        <w:t>. hatályba lépése évének őszé</w:t>
      </w:r>
      <w:r w:rsidRPr="00455882">
        <w:t xml:space="preserve">n elfogadta </w:t>
      </w:r>
      <w:proofErr w:type="gramStart"/>
      <w:r w:rsidRPr="00455882">
        <w:t>a</w:t>
      </w:r>
      <w:proofErr w:type="gramEnd"/>
      <w:r w:rsidRPr="00455882">
        <w:t xml:space="preserve"> Fővárosi Szabályozási Kerettervet és a Budapesti Városrendezési és Építési Keretszabályzatot.</w:t>
      </w:r>
    </w:p>
    <w:p w:rsidR="006C5E10" w:rsidRPr="00455882" w:rsidRDefault="006C5E10" w:rsidP="006C5E10">
      <w:pPr>
        <w:pStyle w:val="BPszvegtest"/>
      </w:pPr>
      <w:r w:rsidRPr="00455882">
        <w:t>A Főváros Településszerkezeti Terve (TSZT) 2005-re k</w:t>
      </w:r>
      <w:r w:rsidR="000E3EC6" w:rsidRPr="00455882">
        <w:t>észült el, az akkor hatályban lé</w:t>
      </w:r>
      <w:r w:rsidRPr="00455882">
        <w:t>vő és vonatkozó jogszabályoknak megfelelő tartalommal, így az Budapesti Agglomeráció Területrendezési Tervéről szól törvényben (</w:t>
      </w:r>
      <w:proofErr w:type="spellStart"/>
      <w:r w:rsidRPr="00455882">
        <w:t>BaTrT</w:t>
      </w:r>
      <w:proofErr w:type="spellEnd"/>
      <w:r w:rsidRPr="00455882">
        <w:t>) fog</w:t>
      </w:r>
      <w:r w:rsidR="000E3EC6" w:rsidRPr="00455882">
        <w:t xml:space="preserve">laltakkal is szinkronban volt. </w:t>
      </w:r>
      <w:r w:rsidRPr="00455882">
        <w:t xml:space="preserve">A Budapesti Agglomeráció Területrendezési Tervének felülvizsgálatára és az alapján a róla szóló törvény módosítására az elmúlt évben került sor. A Fővárosi Önkormányzat az elmúlt év őszén ezért megkezdte a </w:t>
      </w:r>
      <w:proofErr w:type="spellStart"/>
      <w:r w:rsidRPr="00455882">
        <w:t>BaTrT</w:t>
      </w:r>
      <w:proofErr w:type="spellEnd"/>
      <w:r w:rsidRPr="00455882">
        <w:t xml:space="preserve"> módosításából következő változások átvezetését a </w:t>
      </w:r>
      <w:proofErr w:type="spellStart"/>
      <w:r w:rsidRPr="00455882">
        <w:t>TSZT-n</w:t>
      </w:r>
      <w:proofErr w:type="spellEnd"/>
      <w:r w:rsidRPr="00455882">
        <w:t xml:space="preserve">. Ez a munka jelenleg két ok miatt szünetel. Az egyik ok az, hogy az idén ősszel elfogadásra került az </w:t>
      </w:r>
      <w:proofErr w:type="spellStart"/>
      <w:r w:rsidRPr="00455882">
        <w:t>Étv</w:t>
      </w:r>
      <w:proofErr w:type="spellEnd"/>
      <w:r w:rsidRPr="00455882">
        <w:t xml:space="preserve">. módosítása, amely értelmében a Fővárosi Önkormányzatnak 2014. június végére új településszerkezeti tervet kell készíttetnie, amely a most még hatályos régihez </w:t>
      </w:r>
      <w:r w:rsidRPr="00455882">
        <w:lastRenderedPageBreak/>
        <w:t xml:space="preserve">képest a módosított </w:t>
      </w:r>
      <w:proofErr w:type="spellStart"/>
      <w:r w:rsidRPr="00455882">
        <w:t>Étv</w:t>
      </w:r>
      <w:proofErr w:type="spellEnd"/>
      <w:r w:rsidRPr="00455882">
        <w:t xml:space="preserve">, értelmében már más tartalommal fog elkészülni. A másik ok pedig az, hogy a Fővárosi Önkormányzat új településfejlesztési </w:t>
      </w:r>
      <w:r w:rsidR="000E3EC6" w:rsidRPr="00455882">
        <w:t>koncepció kidolgozásába</w:t>
      </w:r>
      <w:r w:rsidRPr="00455882">
        <w:t xml:space="preserve"> kezdett bele 2011-ben. Ez a széleskörű vizsgálatokra és elemzésekre épülő új koncepció lesz az elkészítendő új településszerkezeti terv alapja, ezért ennek elkészültét és elfogadását mindenképpen meg kell várni.</w:t>
      </w:r>
    </w:p>
    <w:p w:rsidR="00161BDA" w:rsidRPr="00161BDA" w:rsidRDefault="00161BDA" w:rsidP="00161BDA">
      <w:pPr>
        <w:pStyle w:val="BPszvegtest"/>
      </w:pPr>
      <w:r>
        <w:t xml:space="preserve">Egyetértve Önnel, mi is azt gondoljuk, hogy </w:t>
      </w:r>
      <w:r w:rsidRPr="00161BDA">
        <w:t>Budapest és Pest megye közösségeinek fejlődése, gazdasági gyarapodása és jóléte szorosan és szerves módon kapcsolódik össze. A társadalmi-gazdasági kapcsolatok összefonódása szükségessé teszi, hogy Budapest és Pest megye a területfejlesztési céljaikat összehangolják. Éppen ezért, a közmeghallgatást megelőző ülésén fogadta el a Fővárosi Közgyűlés a Pest Megye Önkormányzatával kötendő együttműködési megállapodás tervezetét, melynek szövege a Fővárosi Önkormányzat honlapján a közgyűlési előterjesztések között olvasható.</w:t>
      </w:r>
    </w:p>
    <w:p w:rsidR="00AD1F0B" w:rsidRPr="00AD1F0B" w:rsidRDefault="00AD1F0B" w:rsidP="00AD1F0B">
      <w:pPr>
        <w:pStyle w:val="BPszvegtest"/>
      </w:pPr>
      <w:r w:rsidRPr="00AD1F0B">
        <w:t>A Fővárosi Közgyűlés még tavaly áprilisban döntött arról, hogy készüljön el Budapest Új Városfejlesztési Koncepciója. A koncepció megalkotása mellett számos érv szólt. A főváros jelenleg két hatályos városfejlesztési dokumentummal rendelkezik, melyek közül az egyik, a hosszabb távra, 15-20 évre szóló koncepció, még 2003-ban került elfogadásra. Az azóta eltelt időszakban Magyarország mind társadalmi, mind gazdasági szempontból rengeteg változáson ment keresztül. A korábbi városfejlesztési dokumentumokban foglaltak felett – így a 2008-ban elkészült Integrált Városfejlesztési Stratégia felett is – eljárt az idő. A külső kényszerítő körülmények és az új városvezetés előzőétől merőben eltérő – igazi városgazdai szemlélete – új irányt szabtak a fejlesztésről alkotott elképzeléseknek.</w:t>
      </w:r>
    </w:p>
    <w:p w:rsidR="00AD1F0B" w:rsidRPr="00AD1F0B" w:rsidRDefault="00AD1F0B" w:rsidP="00AD1F0B">
      <w:pPr>
        <w:pStyle w:val="BPszvegtest"/>
      </w:pPr>
      <w:r w:rsidRPr="00AD1F0B">
        <w:t>A Fővárosi Közgyűlés tavaly áprilisi döntését követően, a Főpolgármesteri Hivatal Városépítési Főosztályának szakmai irányításával indult meg a munka első fázisa. Ennek keretében széleskörű adat- és információgyűjtést végeztünk, hogy feltárjuk Budapest jelenlegi helyzetét, valamint hogy megismerjük a főváros jövőjével kapcsolatos véleményeket, víziókat. Közel 30 éve nem készült részletes és komplex területi helyzetelemzés a főváros egészére vonatkozóan. Korábban tehát a fejlesztési elképzelések sokkal inkább épültek a tervezésben részt vevők szakmai tapasztalatára, sok esetben „megérzéseire”, mint valós, mérhető (mi több: mért) adatokra. Mi úgy gondoltuk, ideje szakítani az intuitív fejlesztéssel és különösen nagy hangsúlyt helyeztünk arra, hogy az új koncepció egy minden igényt kielégítő adatbázisra épüljön. Az előző év őszén lezárult vizsgálati és elemzési szakasz eredményeképpen létrejött Budapest Térszerkezeti Háttér Adatbázisa. Az adatbázis a városfejlesztési koncepción túlmutatóan a térinformatikai rendszer alapját is képezheti. Az adatbázis jelenlegi formájában azonban „csupán” pillanatfelvétel. Határozott szándékunk, hogy az újonnan szerzett információk, az újonnan keletkező adatok visszacsatolásával az adatbázist folyamatosan frissítsük. Célunk egy állandó kontrollon és visszacsatoláson alapuló folyamattervezés megvalósítása.</w:t>
      </w:r>
    </w:p>
    <w:p w:rsidR="00AD1F0B" w:rsidRPr="00AD1F0B" w:rsidRDefault="00AD1F0B" w:rsidP="00AD1F0B">
      <w:pPr>
        <w:pStyle w:val="BPszvegtest"/>
      </w:pPr>
      <w:r w:rsidRPr="00AD1F0B">
        <w:t>A koncepcióalkotás első fázisa tehát lezárult. A munkafázis eredményeit összefoglaló helyzetelemzésről a Fővárosi Közgyűlés 2011. novemberi ülésén kaptak tájékoztatást a képviselők. Az előkészítő munkálatok eredményeképpen létrejött dokumentumok a Fővárosi Önkormányzat honlapján, a közgyűlési előterjesztések között megtalálhatók.</w:t>
      </w:r>
    </w:p>
    <w:p w:rsidR="00AD1F0B" w:rsidRPr="00AD1F0B" w:rsidRDefault="00AD1F0B" w:rsidP="00AD1F0B">
      <w:pPr>
        <w:pStyle w:val="BPszvegtest"/>
      </w:pPr>
      <w:r w:rsidRPr="00AD1F0B">
        <w:lastRenderedPageBreak/>
        <w:t xml:space="preserve">A már rendelkezésre álló – számszerűsített – adatok és a lakossági igények összevetését követően hozzákezdtünk az új városfejlesztési koncepció munkafolyamatának további lépéseihez. Folyik a városfejlesztési koncepciót megalapozó célrendszer megvitatása, majd a prioritások megfogalmazása. A célrendszert akkor lehet meghatározni, ha van a várossal kapcsolatos jövőképünk. Olyan víziónk, amelyben kijelöljük a főváros távlati pozícióját a nemzetközi és a hazai környezetben, és amelyben felvázoljuk Budapest társadalmának, gazdaságának és környezeti elemeinek elképzelt állapotát. Városfejlesztési politikánk vezérlő elvei a reális igényekhez igazodás, a gazdasági környezethez való folyamatos alkalmazkodás, valamint a főváros egységét szem előtt tartó stratégiai gondolkodás. </w:t>
      </w:r>
    </w:p>
    <w:p w:rsidR="00AD1F0B" w:rsidRPr="00AD1F0B" w:rsidRDefault="00AD1F0B" w:rsidP="00AD1F0B">
      <w:pPr>
        <w:pStyle w:val="BPszvegtest"/>
      </w:pPr>
      <w:r w:rsidRPr="00AD1F0B">
        <w:t>A jövőkép alapján megfogalmazott célok megvitatását és elfogadását követően kerül sor a prioritások megfogalmazására. Ennek keretében meghatározzuk a fejlesztés lehetséges eszközeit, ami a több ágazatot is érintő feladatok összehangolását jelenti. Elképzelésünk szerint a városfejlesztési koncepció utolsó munkafázisa a stratégiai célokból következő feladatok ágazati szinten történő meghatározása lesz. Ebben a szakaszban a feladatokhoz rendeljük azok időigényét, valamint meghatározzuk a finanszírozási szükségleteket is.</w:t>
      </w:r>
    </w:p>
    <w:p w:rsidR="00AD1F0B" w:rsidRPr="00AD1F0B" w:rsidRDefault="00AD1F0B" w:rsidP="00AD1F0B">
      <w:pPr>
        <w:pStyle w:val="BPszvegtest"/>
      </w:pPr>
      <w:r w:rsidRPr="00AD1F0B">
        <w:t>Az elkészült anyag a városfejlesztés alapdokumentuma lesz, melyet a változó körülmények okán folyamatosan karban kell tartani.</w:t>
      </w:r>
    </w:p>
    <w:p w:rsidR="00AD1F0B" w:rsidRPr="00AD1F0B" w:rsidRDefault="00AD1F0B" w:rsidP="00AD1F0B">
      <w:pPr>
        <w:pStyle w:val="BPszvegtest"/>
      </w:pPr>
      <w:r w:rsidRPr="00AD1F0B">
        <w:t>Az új városfejlesztési koncepció megalkotásával párhuzamosan, de attól némiképp eltérő „fókuszokkal”, jogszabályi kötelezettség alapján készül az új területfejlesztési koncepció is. Ennek helyzetelemzését 2012. november 28-án fogadta el a Fővárosi Közgyűlés.</w:t>
      </w:r>
    </w:p>
    <w:p w:rsidR="00161BDA" w:rsidRPr="00161BDA" w:rsidRDefault="00161BDA" w:rsidP="00161BDA">
      <w:pPr>
        <w:pStyle w:val="BPszvegtest"/>
      </w:pPr>
      <w:r w:rsidRPr="00161BDA">
        <w:t>A városfejlesztés olyan összetett feladat, amelyben rajtunk kívül számos szereplő vett és vesz részt. A mi dolgunk a folyamatok összehangolása, és azok fenntarthatóságának biztosítása. Ez azonban kizárólag az adottságok és lehetőségek, a város értékeinek és problémáinak ismeretében lehetséges.</w:t>
      </w:r>
    </w:p>
    <w:p w:rsidR="00161BDA" w:rsidRPr="00161BDA" w:rsidRDefault="00161BDA" w:rsidP="00161BDA">
      <w:pPr>
        <w:pStyle w:val="BPszvegtest"/>
      </w:pPr>
      <w:r w:rsidRPr="00161BDA">
        <w:t>Az új városfejlesztési és területfejlesztési koncepció kapcsán tavaly elkezdődött egy igen széleskörű adatgyűjtés, melyben elévülhetetlen érdemei vannak a kerületek mellett a területi államigazgatási, valamint a Budapesten működő országos hatáskörű szerveknek is. Az előkészítő munka során nem feledkeztünk meg a civil társadalom, a főváros lakóinak megkérdezéséről sem. (fókuszcsoportos vizsgálatok során, műhelybeszélgetések keretében mondhatták el véleményüket az egyes területek szakértői, valamint a civil szervezetek képviselői)</w:t>
      </w:r>
    </w:p>
    <w:p w:rsidR="00161BDA" w:rsidRPr="00161BDA" w:rsidRDefault="00161BDA" w:rsidP="00161BDA">
      <w:pPr>
        <w:pStyle w:val="BPszvegtest"/>
        <w:rPr>
          <w:b/>
          <w:u w:val="single"/>
        </w:rPr>
      </w:pPr>
      <w:r w:rsidRPr="00161BDA">
        <w:rPr>
          <w:b/>
          <w:u w:val="single"/>
        </w:rPr>
        <w:t>II. Városüzemeltetés:</w:t>
      </w:r>
    </w:p>
    <w:p w:rsidR="00161BDA" w:rsidRPr="00161BDA" w:rsidRDefault="00161BDA" w:rsidP="00161BDA">
      <w:pPr>
        <w:pStyle w:val="BPszvegtest"/>
      </w:pPr>
      <w:r w:rsidRPr="00161BDA">
        <w:t>A Főváros</w:t>
      </w:r>
      <w:r>
        <w:t>i Önkormányzat</w:t>
      </w:r>
      <w:r w:rsidRPr="00161BDA">
        <w:t xml:space="preserve"> a szerepek megfelelő elválasztása és világos meghatározása, valamint a közszolgáltató társaságok egységes szemléletű irányítása céljából hozta létre a BVK Holding </w:t>
      </w:r>
      <w:proofErr w:type="spellStart"/>
      <w:r w:rsidRPr="00161BDA">
        <w:t>Zrt-t</w:t>
      </w:r>
      <w:proofErr w:type="spellEnd"/>
      <w:r w:rsidRPr="00161BDA">
        <w:t>, mely a modern vállalatirányítási módszerek alkalmazásával kívánja a közszolgáltató társaságok tevékenységét összehangolni, a bennük rejlő szinergiákat kiaknázni, és tevékenységüket kellően transzparenssé tenni.</w:t>
      </w:r>
    </w:p>
    <w:p w:rsidR="00161BDA" w:rsidRPr="00161BDA" w:rsidRDefault="00161BDA" w:rsidP="00161BDA">
      <w:pPr>
        <w:pStyle w:val="BPszvegtest"/>
      </w:pPr>
      <w:r w:rsidRPr="00161BDA">
        <w:t xml:space="preserve">Hasonló </w:t>
      </w:r>
      <w:r w:rsidR="00884174">
        <w:t>céllal alakult meg a közlekedés</w:t>
      </w:r>
      <w:r w:rsidRPr="00161BDA">
        <w:t xml:space="preserve">szervezés és </w:t>
      </w:r>
      <w:proofErr w:type="spellStart"/>
      <w:r w:rsidR="00884174">
        <w:t>-</w:t>
      </w:r>
      <w:r w:rsidRPr="00161BDA">
        <w:t>irányítás</w:t>
      </w:r>
      <w:proofErr w:type="spellEnd"/>
      <w:r w:rsidRPr="00161BDA">
        <w:t xml:space="preserve"> területén a BKK </w:t>
      </w:r>
      <w:proofErr w:type="spellStart"/>
      <w:r w:rsidRPr="00161BDA">
        <w:t>Zrt</w:t>
      </w:r>
      <w:proofErr w:type="spellEnd"/>
      <w:r w:rsidRPr="00161BDA">
        <w:t>.</w:t>
      </w:r>
    </w:p>
    <w:p w:rsidR="00161BDA" w:rsidRPr="00161BDA" w:rsidRDefault="00161BDA" w:rsidP="00161BDA">
      <w:pPr>
        <w:pStyle w:val="BPszvegtest"/>
      </w:pPr>
      <w:r w:rsidRPr="00161BDA">
        <w:lastRenderedPageBreak/>
        <w:t xml:space="preserve">Ezzel párhuzamosan a Főpolgármesteri Hivatalon belül a Főjegyző irányítása alatt ez év végére megalakult a </w:t>
      </w:r>
      <w:proofErr w:type="spellStart"/>
      <w:r w:rsidRPr="00161BDA">
        <w:t>Monitoring-Controlling</w:t>
      </w:r>
      <w:proofErr w:type="spellEnd"/>
      <w:r w:rsidRPr="00161BDA">
        <w:t xml:space="preserve"> Referatúra, melynek feladata, hogy a gazdasági társaságok stratégiai és operatív üzleti terveit a Hivatal szemével vizsgálja és véleményezze, majd a megvalósítás során egységes beszámoló rendszeren keresztül folyamatosan kövesse. </w:t>
      </w:r>
    </w:p>
    <w:p w:rsidR="00161BDA" w:rsidRPr="00161BDA" w:rsidRDefault="00161BDA" w:rsidP="00161BDA">
      <w:pPr>
        <w:pStyle w:val="BPszvegtest"/>
      </w:pPr>
      <w:r w:rsidRPr="00161BDA">
        <w:t>A Referatúra munkája szándékaink szerint érdemben segíteni fogja a Főpolgármester és helyettesei tevékenységét a gazdasági társaságok irányítása területén.</w:t>
      </w:r>
    </w:p>
    <w:p w:rsidR="00311F5A" w:rsidRDefault="00311F5A" w:rsidP="009F47AE">
      <w:pPr>
        <w:pStyle w:val="BPszvegtest"/>
        <w:rPr>
          <w:b/>
          <w:u w:val="single"/>
        </w:rPr>
      </w:pPr>
    </w:p>
    <w:p w:rsidR="009F47AE" w:rsidRPr="009F47AE" w:rsidRDefault="009F47AE" w:rsidP="009F47AE">
      <w:pPr>
        <w:pStyle w:val="BPszvegtest"/>
        <w:rPr>
          <w:b/>
          <w:u w:val="single"/>
        </w:rPr>
      </w:pPr>
      <w:r w:rsidRPr="009F47AE">
        <w:rPr>
          <w:b/>
          <w:u w:val="single"/>
        </w:rPr>
        <w:t>III. Környezetvédelem:</w:t>
      </w:r>
    </w:p>
    <w:p w:rsidR="009F47AE" w:rsidRPr="009F47AE" w:rsidRDefault="009F47AE" w:rsidP="009F47AE">
      <w:pPr>
        <w:pStyle w:val="BPszvegtest"/>
      </w:pPr>
      <w:r w:rsidRPr="009F47AE">
        <w:t xml:space="preserve">A fővárosi légszennyezettség távlati alakulásával kapcsolatban </w:t>
      </w:r>
      <w:r>
        <w:t>tájékoztatom</w:t>
      </w:r>
      <w:r w:rsidRPr="009F47AE">
        <w:t>, hogy a Fővárosi Közgyűlés 2012</w:t>
      </w:r>
      <w:r>
        <w:t xml:space="preserve"> januárjában </w:t>
      </w:r>
      <w:r w:rsidRPr="009F47AE">
        <w:t>alapján megtárgyalta és elfogadta Budapest Főváros Környezeti Programját, ame</w:t>
      </w:r>
      <w:r>
        <w:t xml:space="preserve">lynek célállapotait </w:t>
      </w:r>
      <w:r w:rsidRPr="009F47AE">
        <w:t>tekintve:</w:t>
      </w:r>
    </w:p>
    <w:p w:rsidR="009F47AE" w:rsidRPr="009F47AE" w:rsidRDefault="009F47AE" w:rsidP="009F47AE">
      <w:pPr>
        <w:pStyle w:val="BPszvegtest"/>
        <w:numPr>
          <w:ilvl w:val="1"/>
          <w:numId w:val="15"/>
        </w:numPr>
        <w:tabs>
          <w:tab w:val="clear" w:pos="3740"/>
          <w:tab w:val="clear" w:pos="5720"/>
        </w:tabs>
        <w:ind w:left="1434" w:hanging="357"/>
      </w:pPr>
      <w:r w:rsidRPr="009F47AE">
        <w:t xml:space="preserve">L1. PM10: Budapesten el kell érni a kisméretű szálló porra (PM10) előírt légszennyezettségi határértékeket, valamint </w:t>
      </w:r>
      <w:r>
        <w:t xml:space="preserve">célkitűzés, hogy </w:t>
      </w:r>
      <w:r w:rsidR="00311F5A" w:rsidRPr="009F47AE">
        <w:t xml:space="preserve">évente </w:t>
      </w:r>
      <w:r w:rsidRPr="009F47AE">
        <w:t>a napi határérték-túllépések száma legyen kevesebb, mint 35;</w:t>
      </w:r>
    </w:p>
    <w:p w:rsidR="009F47AE" w:rsidRPr="009F47AE" w:rsidRDefault="009F47AE" w:rsidP="009F47AE">
      <w:pPr>
        <w:pStyle w:val="BPszvegtest"/>
        <w:numPr>
          <w:ilvl w:val="1"/>
          <w:numId w:val="15"/>
        </w:numPr>
        <w:tabs>
          <w:tab w:val="clear" w:pos="3740"/>
          <w:tab w:val="clear" w:pos="5720"/>
        </w:tabs>
        <w:ind w:left="1434" w:hanging="357"/>
      </w:pPr>
      <w:r w:rsidRPr="009F47AE">
        <w:t>L2. NO2: A nitrogén-dioxid szennyezettség tekintetében az egy órát meghaladó határérték-túllépések száma legyen kevesebb, mint 18 évente.</w:t>
      </w:r>
    </w:p>
    <w:p w:rsidR="009F47AE" w:rsidRPr="009F47AE" w:rsidRDefault="009F47AE" w:rsidP="009F47AE">
      <w:pPr>
        <w:pStyle w:val="BPszvegtest"/>
      </w:pPr>
      <w:r w:rsidRPr="009F47AE">
        <w:t>Ezen célkitűzés keretében a következő feladatok megvalósítását irányoztuk elő</w:t>
      </w:r>
      <w:r w:rsidR="00643EA8">
        <w:t>:</w:t>
      </w:r>
    </w:p>
    <w:p w:rsidR="009F47AE" w:rsidRPr="009F47AE" w:rsidRDefault="009F47AE" w:rsidP="009F47AE">
      <w:pPr>
        <w:pStyle w:val="BPszvegtest"/>
      </w:pPr>
      <w:r w:rsidRPr="009F47AE">
        <w:t>Az egy lakosra jutó közcélú zöldfelület igény valóban megfogalmazásra került az 1970-es években. A magyar tervezési irányelvek között 3x7 m</w:t>
      </w:r>
      <w:r w:rsidRPr="008E7135">
        <w:rPr>
          <w:vertAlign w:val="superscript"/>
        </w:rPr>
        <w:t>2</w:t>
      </w:r>
      <w:r w:rsidRPr="009F47AE">
        <w:t xml:space="preserve">/lakos közcélú zöldterület szerepelt. Ez </w:t>
      </w:r>
      <w:r w:rsidR="008E7135">
        <w:t xml:space="preserve">azt </w:t>
      </w:r>
      <w:r w:rsidRPr="009F47AE">
        <w:t>jelentette, hogy lakosonként 7 m</w:t>
      </w:r>
      <w:r w:rsidRPr="008E7135">
        <w:rPr>
          <w:vertAlign w:val="superscript"/>
        </w:rPr>
        <w:t>2</w:t>
      </w:r>
      <w:r w:rsidRPr="009F47AE">
        <w:t xml:space="preserve"> lakóterületi közkert legyen közvetlen a lakás közelében (szinte az ablak alatt), 7m</w:t>
      </w:r>
      <w:r w:rsidRPr="008E7135">
        <w:rPr>
          <w:vertAlign w:val="superscript"/>
        </w:rPr>
        <w:t>2</w:t>
      </w:r>
      <w:r w:rsidRPr="009F47AE">
        <w:t xml:space="preserve"> lakóterületi közpark legyen, amit a lakástól mintegy 10 perces sétával el lehet érni, és 7 m</w:t>
      </w:r>
      <w:r w:rsidRPr="008E7135">
        <w:rPr>
          <w:vertAlign w:val="superscript"/>
        </w:rPr>
        <w:t>2</w:t>
      </w:r>
      <w:r w:rsidRPr="009F47AE">
        <w:t xml:space="preserve"> városi szintű közpark legyen, ami 30 perc alatt tömegközlekedéssel elérhető. Ez összesen 21 m</w:t>
      </w:r>
      <w:r w:rsidRPr="008E7135">
        <w:rPr>
          <w:vertAlign w:val="superscript"/>
        </w:rPr>
        <w:t>2</w:t>
      </w:r>
      <w:r w:rsidRPr="009F47AE">
        <w:t>/lakos közcélú zöldterületet jelent. Ez a mérték Budapest beépítettségét tekintve belátható időn belül megvalósíthatatlan, hiszen jelentős épületállományt kellene lebontani a történelmi városrészekben parkosítás céljából. Jelenleg Budapesten – a Központi Statisztikai Hivatal adatai szerint – az egy lakosra jutó közcélú zöldterület átlagosan 11,5 m</w:t>
      </w:r>
      <w:r w:rsidRPr="008E7135">
        <w:rPr>
          <w:vertAlign w:val="superscript"/>
        </w:rPr>
        <w:t>2</w:t>
      </w:r>
      <w:r w:rsidRPr="009F47AE">
        <w:t>.</w:t>
      </w:r>
    </w:p>
    <w:p w:rsidR="00643EA8" w:rsidRPr="009F47AE" w:rsidRDefault="00643EA8" w:rsidP="00643EA8">
      <w:pPr>
        <w:pStyle w:val="BPszvegtest"/>
      </w:pPr>
      <w:r>
        <w:t xml:space="preserve">A </w:t>
      </w:r>
      <w:r w:rsidRPr="009F47AE">
        <w:t>Környezeti Programmal kapcsolatban az adatokat hiányoló javaslatával kapcsolatban tájékoztatjuk, hogy a Környezeti Program a Budapest Portálon szintén folyamatosan elérhető és évente elkészítendő Fővárosi Környezeti Állapotértékelés adataira épül.</w:t>
      </w:r>
      <w:r>
        <w:t xml:space="preserve"> </w:t>
      </w:r>
    </w:p>
    <w:p w:rsidR="009F47AE" w:rsidRPr="009F47AE" w:rsidRDefault="009F47AE" w:rsidP="009F47AE">
      <w:pPr>
        <w:pStyle w:val="BPszvegtest"/>
      </w:pPr>
      <w:r w:rsidRPr="009F47AE">
        <w:t xml:space="preserve">Javaslatai között említi a „barna övezetek” parkosítását. Ezzel a javaslattal teljesen egyetértünk, de nem csak a fővárosnál, hanem a kerületeknél is, hiszen így jött létre a Millenáris, a IX. kerületben a Kerekerdő park, a XI. kerületben a </w:t>
      </w:r>
      <w:proofErr w:type="spellStart"/>
      <w:r w:rsidRPr="009F47AE">
        <w:t>Kopaszi</w:t>
      </w:r>
      <w:proofErr w:type="spellEnd"/>
      <w:r w:rsidRPr="009F47AE">
        <w:t xml:space="preserve"> gát parkja, és ilyen céllal végez a Fővárosi Önkormányzat környezeti kármentesítést az Orczy kertben, hogy az egykori buszgarázs területe – a környezeti kármentesítés után a történeti Orczy kert szerves részévé válhasson.</w:t>
      </w:r>
    </w:p>
    <w:p w:rsidR="009F47AE" w:rsidRPr="009F47AE" w:rsidRDefault="009F47AE" w:rsidP="009F47AE">
      <w:pPr>
        <w:pStyle w:val="BPszvegtest"/>
      </w:pPr>
      <w:r w:rsidRPr="009F47AE">
        <w:lastRenderedPageBreak/>
        <w:t>A megvalósítandó zöld gyűrű körül különböző értelmezések alakultak ki. Van</w:t>
      </w:r>
      <w:r w:rsidR="008E7135">
        <w:t>,</w:t>
      </w:r>
      <w:r w:rsidRPr="009F47AE">
        <w:t xml:space="preserve"> aki egy közlekedési gyűrű fásított formáját tekinti zöld gyűrűnek. Ennek környezetjavító hatékonysága erősen megkérdőjelezhető. Ugyancsak a város beépítettsége miatt összefüggő zöldgyűrű a városban nem alakítható ki, legfeljebb a város külső peremén, a beépítetlen területeken. Egy ilyen gyűrű kijelölése is számos városrendezési kérdést vet fel, érintheti az agglomerációt is. Mindezeket nem elvetve</w:t>
      </w:r>
      <w:r w:rsidR="000E415D">
        <w:t>,</w:t>
      </w:r>
      <w:r w:rsidRPr="009F47AE">
        <w:t xml:space="preserve"> igen nagy figyelmet és erőket kell fordítanunk a meglévő zöldterületek megőrzésére, amely legalább annyira fontos és időszerű.</w:t>
      </w:r>
    </w:p>
    <w:p w:rsidR="00455882" w:rsidRDefault="00455882" w:rsidP="009F47AE">
      <w:pPr>
        <w:pStyle w:val="BPszvegtest"/>
        <w:rPr>
          <w:b/>
          <w:u w:val="single"/>
        </w:rPr>
      </w:pPr>
    </w:p>
    <w:p w:rsidR="00643EA8" w:rsidRPr="00455882" w:rsidRDefault="00643EA8" w:rsidP="009F47AE">
      <w:pPr>
        <w:pStyle w:val="BPszvegtest"/>
        <w:rPr>
          <w:b/>
          <w:u w:val="single"/>
        </w:rPr>
      </w:pPr>
      <w:r w:rsidRPr="00455882">
        <w:rPr>
          <w:b/>
          <w:u w:val="single"/>
        </w:rPr>
        <w:t>IV. Közlekedés:</w:t>
      </w:r>
    </w:p>
    <w:p w:rsidR="009F47AE" w:rsidRPr="009F47AE" w:rsidRDefault="009F47AE" w:rsidP="009F47AE">
      <w:pPr>
        <w:pStyle w:val="BPszvegtest"/>
      </w:pPr>
      <w:r w:rsidRPr="009F47AE">
        <w:t xml:space="preserve">A BKK olyan fővárosi közlekedésstratégiai terv készítésén és megvalósításán dolgozik, amely a közösségi, gyalogos és kerékpáros közlekedés </w:t>
      </w:r>
      <w:proofErr w:type="spellStart"/>
      <w:r w:rsidRPr="009F47AE">
        <w:t>modal-splitbeli</w:t>
      </w:r>
      <w:proofErr w:type="spellEnd"/>
      <w:r w:rsidRPr="009F47AE">
        <w:t xml:space="preserve"> arányainak növekedését tűzi ki céljául, az egyéni személygépjármű használat arányának terhére.</w:t>
      </w:r>
    </w:p>
    <w:p w:rsidR="009F47AE" w:rsidRPr="009F47AE" w:rsidRDefault="009F47AE" w:rsidP="009F47AE">
      <w:pPr>
        <w:pStyle w:val="BPszvegtest"/>
      </w:pPr>
      <w:r w:rsidRPr="009F47AE">
        <w:t>Jelenleg folyamatban van a Főváros 2009-ben elfogadott „Budapest közlekedési rendszerének fejlesztési terve” (BKRTF) felülvizsgálata, és az ehhez kapcsolódó stratégiai környezeti vizsgálat elkészítése. A tervezési feladat kidolgozása során a BKRFT projektjei gazdaságossági és költséghatékonysági szempontok figyelembevételével kerülnek felülvizsgálatra, összehangoltan a főváros hétéves, 2018-ig gördülő költségvetési előirányzatával, a megkötött támogatási szerződésekkel és a várható európai uniós támogatásokkal. A projektek rangsorolása elsősorban a forráslehetőségek, valamint a városfejlesztési hatások mérlegelése alapján történik.</w:t>
      </w:r>
    </w:p>
    <w:p w:rsidR="009F47AE" w:rsidRPr="009F47AE" w:rsidRDefault="009F47AE" w:rsidP="009F47AE">
      <w:pPr>
        <w:pStyle w:val="BPszvegtest"/>
      </w:pPr>
      <w:r w:rsidRPr="009F47AE">
        <w:t>A BKK szándéka szerint a jövőben a BKRFT felülvizsgálatot követő stratégiai tervezési folyamat eredménye Budapest fenntartható mobilitási tervének kidolgozása lesz, távlati cél a BKRFT átdolgozása nyomán olyan fenntartható mobilitási terv kidolgozása, amelynek időtálló prioritásai összhangban lesznek az Európai Unió Fehér Könyvében lefektetett, a közlekedési ágazatra vonatkozó irányelvekkel.</w:t>
      </w:r>
    </w:p>
    <w:p w:rsidR="009F47AE" w:rsidRPr="009F47AE" w:rsidRDefault="009F47AE" w:rsidP="009F47AE">
      <w:pPr>
        <w:pStyle w:val="BPszvegtest"/>
      </w:pPr>
      <w:r w:rsidRPr="009F47AE">
        <w:t xml:space="preserve">A P+R parkolási rendszer a BKRFT egyik legfontosabb rendszereleme. Annak érdekében, hogy a közlekedési ágazati hierarchia szerinti </w:t>
      </w:r>
      <w:proofErr w:type="spellStart"/>
      <w:r w:rsidRPr="009F47AE">
        <w:t>modal-split</w:t>
      </w:r>
      <w:proofErr w:type="spellEnd"/>
      <w:r w:rsidRPr="009F47AE">
        <w:t xml:space="preserve"> célok elérhetők legyenek, fontos, hogy minél többen hagyják autóikat az épülő P+R parkolókban (amelyeket mindig együtt kell érteni a B+R kerékpártárolókkal), és a városi belső területeken használják a tömegközlekedés járműveit.</w:t>
      </w:r>
    </w:p>
    <w:p w:rsidR="009F47AE" w:rsidRPr="009F47AE" w:rsidRDefault="009F47AE" w:rsidP="009F47AE">
      <w:pPr>
        <w:pStyle w:val="BPszvegtest"/>
      </w:pPr>
      <w:r w:rsidRPr="009F47AE">
        <w:t xml:space="preserve">A </w:t>
      </w:r>
      <w:proofErr w:type="spellStart"/>
      <w:r w:rsidRPr="009F47AE">
        <w:t>BKK-ban</w:t>
      </w:r>
      <w:proofErr w:type="spellEnd"/>
      <w:r w:rsidRPr="009F47AE">
        <w:t xml:space="preserve"> ennek szellemében megkezdődött a beadványban említett fejlesztések terveztetése több helyszínen (Csepel, </w:t>
      </w:r>
      <w:proofErr w:type="spellStart"/>
      <w:r w:rsidRPr="009F47AE">
        <w:t>Cinkota</w:t>
      </w:r>
      <w:proofErr w:type="spellEnd"/>
      <w:r w:rsidRPr="009F47AE">
        <w:t>, Vágóhíd, Pillangó u., Akadémia, Békásmegyer, Kaszásdűlő), ill. a HÉV vonalakon tervezett nagyberuházások (M2 és Gödöllői HÉV összekötése, Észak-déli regionális gyorsvasút déli szakasz) keretében az agglomeráció területén is terveztetni fogunk P+R parkolókat a következő években a H6, H7, H8, H9 vonalak mentén.</w:t>
      </w:r>
    </w:p>
    <w:p w:rsidR="009F47AE" w:rsidRPr="009F47AE" w:rsidRDefault="009F47AE" w:rsidP="009F47AE">
      <w:pPr>
        <w:pStyle w:val="BPszvegtest"/>
      </w:pPr>
      <w:r w:rsidRPr="009F47AE">
        <w:rPr>
          <w:bCs/>
        </w:rPr>
        <w:t xml:space="preserve">A parkolási díjak a mi felfogásunk szerint elsősorban nem bevétel-szerző céllal kerülnek megállapításra, hanem a gépjárművek forgalmának szabályozási eszközeként szerepelnek. Ennek megfelelően a várakozási díjtételek és </w:t>
      </w:r>
      <w:proofErr w:type="spellStart"/>
      <w:r w:rsidRPr="009F47AE">
        <w:rPr>
          <w:bCs/>
        </w:rPr>
        <w:t>-időtartamok</w:t>
      </w:r>
      <w:proofErr w:type="spellEnd"/>
      <w:r w:rsidRPr="009F47AE">
        <w:rPr>
          <w:bCs/>
        </w:rPr>
        <w:t xml:space="preserve"> a parkolás iránti kereslet és a parkolási lehetőségek viszonyán alapulnak. Ezt a </w:t>
      </w:r>
      <w:r w:rsidRPr="009F47AE">
        <w:rPr>
          <w:bCs/>
        </w:rPr>
        <w:lastRenderedPageBreak/>
        <w:t xml:space="preserve">területi és kereslet-kínálati elvet követve szabályozza a fővárosi parkolási rendelet a parkolás rendjét. (Budapest főváros közigazgatási területén a járművel várakozás rendjének egységes kialakításáról, a várakozás díjáról és az üzemképtelen járművek tárolásának szabályozásáról szóló 30/2010. (VI. 4.) Főv. Kgy. </w:t>
      </w:r>
      <w:proofErr w:type="gramStart"/>
      <w:r w:rsidRPr="009F47AE">
        <w:rPr>
          <w:bCs/>
        </w:rPr>
        <w:t>rendelet</w:t>
      </w:r>
      <w:proofErr w:type="gramEnd"/>
      <w:r w:rsidRPr="009F47AE">
        <w:rPr>
          <w:bCs/>
        </w:rPr>
        <w:t xml:space="preserve">) Ezen a rendszeren általánosságban nem kívánunk változtatni, csak akkor, ha valamilyen fejlesztés a szóban forgó térség parkolási egyensúlyi helyzetén alapjaiban változtat. </w:t>
      </w:r>
    </w:p>
    <w:p w:rsidR="00455882" w:rsidRDefault="00455882" w:rsidP="00455882">
      <w:pPr>
        <w:pStyle w:val="BPszvegtest"/>
      </w:pPr>
    </w:p>
    <w:p w:rsidR="00455882" w:rsidRPr="00455882" w:rsidRDefault="00455882" w:rsidP="00455882">
      <w:pPr>
        <w:pStyle w:val="BPszvegtest"/>
        <w:rPr>
          <w:b/>
          <w:u w:val="single"/>
        </w:rPr>
      </w:pPr>
      <w:r w:rsidRPr="00455882">
        <w:rPr>
          <w:b/>
          <w:u w:val="single"/>
        </w:rPr>
        <w:t>V. Szociálpolitika</w:t>
      </w:r>
    </w:p>
    <w:p w:rsidR="00455882" w:rsidRPr="00455882" w:rsidRDefault="00455882" w:rsidP="00455882">
      <w:pPr>
        <w:pStyle w:val="BPszvegtest"/>
      </w:pPr>
      <w:r w:rsidRPr="00455882">
        <w:t xml:space="preserve">A Főpolgármesteri Hivatal az </w:t>
      </w:r>
      <w:r>
        <w:t xml:space="preserve">Ön által is </w:t>
      </w:r>
      <w:r w:rsidRPr="00455882">
        <w:t xml:space="preserve">említett célok megvalósítása érdekében fogadta el a 2012. évben a 2012-2018 évre szóló szociális koncepcióját, működteti 2010. év óta a Fővárosi Települési Esélyegyenlőségi Programot, melynek alapvető célkitűzéseit, fontosabb irányelveit ágazati stratégiai anyagaiba (pl. Új Városfejlesztési Koncepció) is átvezette. A célok elérése érdekében működik a Budapest Esély Nonprofit Kft., melynek keretein belül számos, a munkanélküliség csökkentését célzó célcsoport-specifikus nemzetközi projekt zajlik, illetve a főváros területi hatáskörébe tartozó közfoglalkoztatás megszervezése is a szervezet feladata. A Fővárosi Önkormányzat emellett a hivatalán belül működtet a pályakezdő fővárosi fiatalok számára ösztöndíjas rendszert, aminek célja az ifjúság munkatapasztalat szerzésének elősegítése, mely egyben megerősíti a fővárosi közigazgatási szervek megfelelő színvonalú szakmai utánpótlásának felkészítését. A Főpolgármesteri Hivatal nemzetközi tapasztalatokat halmozott fel a bevonáson alapuló közösségi tervezés és végrehajtás szempontjainak városfejlesztésben történő alkalmazására, mellyel összefüggésben több, a társadalmi kirekesztettséget kezelő önkormányzati intézkedést hajt végre. Ilyenek a budapesti roma közösségekkel együtt, a </w:t>
      </w:r>
      <w:proofErr w:type="spellStart"/>
      <w:r w:rsidRPr="00455882">
        <w:t>Roma-Net</w:t>
      </w:r>
      <w:proofErr w:type="spellEnd"/>
      <w:r w:rsidRPr="00455882">
        <w:t xml:space="preserve"> elnevezésű partnerség keretében folytatott, illetve a migráns közösségek társadalmi befogadása érdekében a migráns közösségekkel együtt, a Fővárosi Migrációs Kerekasztal elnevezésű partnerség keretében folytatott munka.</w:t>
      </w:r>
    </w:p>
    <w:p w:rsidR="00F91D5C" w:rsidRDefault="00F91D5C" w:rsidP="0027632F">
      <w:pPr>
        <w:pStyle w:val="BPszvegtest"/>
        <w:tabs>
          <w:tab w:val="clear" w:pos="3740"/>
          <w:tab w:val="clear" w:pos="5720"/>
        </w:tabs>
      </w:pPr>
    </w:p>
    <w:p w:rsidR="00DF44B1" w:rsidRDefault="00DF44B1" w:rsidP="0027632F">
      <w:pPr>
        <w:pStyle w:val="BPdtum"/>
        <w:tabs>
          <w:tab w:val="clear" w:pos="3740"/>
          <w:tab w:val="clear" w:pos="5720"/>
        </w:tabs>
      </w:pPr>
      <w:r w:rsidRPr="009509C3">
        <w:t>Budapest,</w:t>
      </w:r>
      <w:r w:rsidR="002E0CC6">
        <w:t xml:space="preserve"> </w:t>
      </w:r>
      <w:r w:rsidR="00606631">
        <w:t xml:space="preserve">2012. </w:t>
      </w:r>
      <w:r w:rsidR="00161BDA">
        <w:t>december</w:t>
      </w:r>
      <w:r w:rsidR="00311F5A">
        <w:t xml:space="preserve"> 18</w:t>
      </w:r>
      <w:r w:rsidR="003007BB">
        <w:t>.</w:t>
      </w:r>
    </w:p>
    <w:tbl>
      <w:tblPr>
        <w:tblW w:w="0" w:type="auto"/>
        <w:jc w:val="right"/>
        <w:tblCellMar>
          <w:left w:w="0" w:type="dxa"/>
          <w:right w:w="0" w:type="dxa"/>
        </w:tblCellMar>
        <w:tblLook w:val="04A0"/>
      </w:tblPr>
      <w:tblGrid>
        <w:gridCol w:w="3229"/>
      </w:tblGrid>
      <w:tr w:rsidR="00715F0F" w:rsidRPr="009509C3" w:rsidTr="003007BB">
        <w:trPr>
          <w:trHeight w:val="961"/>
          <w:jc w:val="right"/>
        </w:trPr>
        <w:tc>
          <w:tcPr>
            <w:tcW w:w="0" w:type="auto"/>
            <w:noWrap/>
          </w:tcPr>
          <w:tbl>
            <w:tblPr>
              <w:tblW w:w="0" w:type="auto"/>
              <w:jc w:val="right"/>
              <w:tblCellMar>
                <w:left w:w="0" w:type="dxa"/>
                <w:right w:w="0" w:type="dxa"/>
              </w:tblCellMar>
              <w:tblLook w:val="04A0"/>
            </w:tblPr>
            <w:tblGrid>
              <w:gridCol w:w="3229"/>
            </w:tblGrid>
            <w:tr w:rsidR="00FC4EEF" w:rsidRPr="009509C3" w:rsidTr="003007BB">
              <w:trPr>
                <w:trHeight w:val="138"/>
                <w:jc w:val="right"/>
              </w:trPr>
              <w:tc>
                <w:tcPr>
                  <w:tcW w:w="0" w:type="auto"/>
                  <w:noWrap/>
                </w:tcPr>
                <w:p w:rsidR="00FC4EEF" w:rsidRPr="009509C3" w:rsidRDefault="00FC4EEF" w:rsidP="003007BB">
                  <w:pPr>
                    <w:pStyle w:val="BPtisztelettel"/>
                    <w:keepNext/>
                    <w:keepLines/>
                    <w:jc w:val="both"/>
                  </w:pPr>
                  <w:r w:rsidRPr="009509C3">
                    <w:t>Tisztelettel:</w:t>
                  </w:r>
                </w:p>
              </w:tc>
            </w:tr>
            <w:tr w:rsidR="00FC4EEF" w:rsidRPr="009509C3" w:rsidTr="003007BB">
              <w:trPr>
                <w:trHeight w:val="961"/>
                <w:jc w:val="right"/>
              </w:trPr>
              <w:tc>
                <w:tcPr>
                  <w:tcW w:w="0" w:type="auto"/>
                  <w:noWrap/>
                </w:tcPr>
                <w:p w:rsidR="00FC4EEF" w:rsidRPr="00D1666A" w:rsidRDefault="001A6407" w:rsidP="00E034BF">
                  <w:pPr>
                    <w:pStyle w:val="BPalrs"/>
                  </w:pPr>
                  <w:r>
                    <w:t xml:space="preserve">dr. </w:t>
                  </w:r>
                  <w:r w:rsidR="00311F5A">
                    <w:t>Baranyainé dr. Kántor Andrea</w:t>
                  </w:r>
                  <w:r w:rsidR="00290C58" w:rsidRPr="00290C58">
                    <w:t xml:space="preserve"> </w:t>
                  </w:r>
                </w:p>
                <w:p w:rsidR="00FC4EEF" w:rsidRPr="009509C3" w:rsidRDefault="00311F5A" w:rsidP="003007BB">
                  <w:pPr>
                    <w:pStyle w:val="Bpalrstitulus"/>
                    <w:jc w:val="both"/>
                  </w:pPr>
                  <w:r>
                    <w:t>irodavezető</w:t>
                  </w:r>
                </w:p>
              </w:tc>
            </w:tr>
            <w:tr w:rsidR="00311F5A" w:rsidRPr="009509C3" w:rsidTr="003007BB">
              <w:trPr>
                <w:trHeight w:val="961"/>
                <w:jc w:val="right"/>
              </w:trPr>
              <w:tc>
                <w:tcPr>
                  <w:tcW w:w="0" w:type="auto"/>
                  <w:noWrap/>
                </w:tcPr>
                <w:p w:rsidR="00311F5A" w:rsidRDefault="00311F5A" w:rsidP="00E034BF">
                  <w:pPr>
                    <w:pStyle w:val="BPalrs"/>
                  </w:pPr>
                </w:p>
              </w:tc>
            </w:tr>
          </w:tbl>
          <w:p w:rsidR="00715F0F" w:rsidRPr="009509C3" w:rsidRDefault="00715F0F" w:rsidP="003007BB">
            <w:pPr>
              <w:pStyle w:val="Bpalrstitulus"/>
              <w:jc w:val="both"/>
            </w:pPr>
          </w:p>
        </w:tc>
      </w:tr>
    </w:tbl>
    <w:p w:rsidR="00523FE7" w:rsidRPr="009509C3" w:rsidRDefault="003007BB" w:rsidP="003007BB">
      <w:pPr>
        <w:pStyle w:val="BPmellkletcm"/>
      </w:pPr>
      <w:r>
        <w:pict>
          <v:shapetype id="_x0000_t32" coordsize="21600,21600" o:spt="32" o:oned="t" path="m,l21600,21600e" filled="f">
            <v:path arrowok="t" fillok="f" o:connecttype="none"/>
            <o:lock v:ext="edit" shapetype="t"/>
          </v:shapetype>
          <v:shape id="_x0000_s1026" type="#_x0000_t32" style="width:476.2pt;height:0;mso-position-horizontal-relative:char;mso-position-vertical-relative:line" o:connectortype="straight" strokeweight=".3pt">
            <w10:anchorlock/>
          </v:shape>
        </w:pict>
      </w:r>
    </w:p>
    <w:sectPr w:rsidR="00523FE7" w:rsidRPr="009509C3" w:rsidSect="00FD55F5">
      <w:footerReference w:type="default" r:id="rId11"/>
      <w:headerReference w:type="first" r:id="rId12"/>
      <w:footerReference w:type="first" r:id="rId13"/>
      <w:pgSz w:w="11906" w:h="16838" w:code="9"/>
      <w:pgMar w:top="1134" w:right="1077" w:bottom="1560" w:left="2495"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45" w:rsidRDefault="00EA7945" w:rsidP="007D58FD">
      <w:pPr>
        <w:spacing w:after="0" w:line="240" w:lineRule="auto"/>
      </w:pPr>
      <w:r>
        <w:separator/>
      </w:r>
    </w:p>
  </w:endnote>
  <w:endnote w:type="continuationSeparator" w:id="0">
    <w:p w:rsidR="00EA7945" w:rsidRDefault="00EA7945" w:rsidP="007D5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C6" w:rsidRPr="004E7D10" w:rsidRDefault="009230C6" w:rsidP="004E7D10">
    <w:pPr>
      <w:pStyle w:val="BPoldalszm"/>
      <w:jc w:val="right"/>
    </w:pPr>
    <w:r>
      <w:fldChar w:fldCharType="begin"/>
    </w:r>
    <w:r>
      <w:instrText xml:space="preserve"> PAGE </w:instrText>
    </w:r>
    <w:r>
      <w:fldChar w:fldCharType="separate"/>
    </w:r>
    <w:r w:rsidR="00036267">
      <w:rPr>
        <w:noProof/>
      </w:rPr>
      <w:t>6</w:t>
    </w:r>
    <w:r>
      <w:fldChar w:fldCharType="end"/>
    </w:r>
    <w:r w:rsidRPr="000B5409">
      <w:t xml:space="preserve"> / </w:t>
    </w:r>
    <w:fldSimple w:instr=" NUMPAGES  ">
      <w:r w:rsidR="00036267">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C6" w:rsidRPr="00BE7239" w:rsidRDefault="009230C6" w:rsidP="004878A8">
    <w:pPr>
      <w:pStyle w:val="BPllb"/>
    </w:pPr>
    <w:r w:rsidRPr="00BE7239">
      <w:t xml:space="preserve">1052 Budapest, Városház utca 9-11. | levélcím: 1840 Budapest | telefon: </w:t>
    </w:r>
    <w:r>
      <w:t xml:space="preserve">+ 36 1 327-1044 </w:t>
    </w:r>
    <w:r w:rsidRPr="00BE7239">
      <w:t xml:space="preserve">| fax: </w:t>
    </w:r>
    <w:r>
      <w:t xml:space="preserve">+ 36 1 327-1765 </w:t>
    </w:r>
    <w:r w:rsidRPr="00BE7239">
      <w:br/>
      <w:t xml:space="preserve">e-mail: </w:t>
    </w:r>
    <w:r>
      <w:t>KantorA</w:t>
    </w:r>
    <w:r w:rsidRPr="00290C58">
      <w:t>@Budapest.hu</w:t>
    </w:r>
    <w:r w:rsidRPr="009C03BA">
      <w:rPr>
        <w:rFonts w:cs="Times New Roman"/>
        <w:szCs w:val="22"/>
      </w:rPr>
      <w:pict>
        <v:shapetype id="_x0000_t32" coordsize="21600,21600" o:spt="32" o:oned="t" path="m,l21600,21600e" filled="f">
          <v:path arrowok="t" fillok="f" o:connecttype="none"/>
          <o:lock v:ext="edit" shapetype="t"/>
        </v:shapetype>
        <v:shape id="_x0000_s2050" type="#_x0000_t32" style="position:absolute;left:0;text-align:left;margin-left:541.5pt;margin-top:785.3pt;width:0;height:28.35pt;z-index:-251659776;mso-position-horizontal-relative:page;mso-position-vertical-relative:page" o:connectortype="straight" strokeweight=".3pt">
          <w10:wrap anchorx="margin" anchory="page"/>
        </v:shape>
      </w:pict>
    </w:r>
    <w:r w:rsidRPr="009C03BA">
      <w:rPr>
        <w:rFonts w:cs="Times New Roman"/>
        <w:noProof w:val="0"/>
        <w:szCs w:val="22"/>
        <w:lang w:eastAsia="en-US"/>
      </w:rPr>
      <w:pict>
        <v:shape id="_x0000_s2049" type="#_x0000_t32" style="position:absolute;left:0;text-align:left;margin-left:65.2pt;margin-top:785.3pt;width:476.2pt;height:.05pt;z-index:-251660800;mso-position-horizontal-relative:page;mso-position-vertical-relative:page" o:connectortype="straight" o:allowincell="f" o:allowoverlap="f" strokeweight=".3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45" w:rsidRDefault="00EA7945" w:rsidP="007D58FD">
      <w:pPr>
        <w:spacing w:after="0" w:line="240" w:lineRule="auto"/>
      </w:pPr>
      <w:r>
        <w:separator/>
      </w:r>
    </w:p>
  </w:footnote>
  <w:footnote w:type="continuationSeparator" w:id="0">
    <w:p w:rsidR="00EA7945" w:rsidRDefault="00EA7945" w:rsidP="007D5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4"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tblPr>
    <w:tblGrid>
      <w:gridCol w:w="5301"/>
      <w:gridCol w:w="992"/>
      <w:gridCol w:w="3231"/>
    </w:tblGrid>
    <w:tr w:rsidR="009230C6" w:rsidRPr="00D31FB3" w:rsidTr="00927B03">
      <w:trPr>
        <w:trHeight w:hRule="exact" w:val="607"/>
      </w:trPr>
      <w:tc>
        <w:tcPr>
          <w:tcW w:w="2783" w:type="pct"/>
          <w:vMerge w:val="restart"/>
          <w:tcBorders>
            <w:top w:val="nil"/>
            <w:left w:val="nil"/>
            <w:bottom w:val="nil"/>
            <w:right w:val="nil"/>
          </w:tcBorders>
          <w:noWrap/>
        </w:tcPr>
        <w:p w:rsidR="009230C6" w:rsidRPr="00983086" w:rsidRDefault="009230C6" w:rsidP="00BF4716">
          <w:pPr>
            <w:pStyle w:val="BPiktatadat"/>
          </w:pPr>
        </w:p>
      </w:tc>
      <w:tc>
        <w:tcPr>
          <w:tcW w:w="2217" w:type="pct"/>
          <w:gridSpan w:val="2"/>
          <w:tcBorders>
            <w:top w:val="nil"/>
            <w:left w:val="nil"/>
            <w:bottom w:val="nil"/>
            <w:right w:val="nil"/>
          </w:tcBorders>
          <w:noWrap/>
        </w:tcPr>
        <w:p w:rsidR="009230C6" w:rsidRPr="007905FC" w:rsidRDefault="009230C6" w:rsidP="0062072D">
          <w:pPr>
            <w:pStyle w:val="BPhivatal"/>
            <w:rPr>
              <w:szCs w:val="19"/>
            </w:rPr>
          </w:pPr>
          <w:r w:rsidRPr="007905FC">
            <w:rPr>
              <w:szCs w:val="19"/>
            </w:rPr>
            <w:t xml:space="preserve">Budapest Főváros </w:t>
          </w:r>
          <w:r>
            <w:rPr>
              <w:szCs w:val="19"/>
            </w:rPr>
            <w:t>Önkormányzata</w:t>
          </w:r>
        </w:p>
        <w:p w:rsidR="009230C6" w:rsidRPr="00D31FB3" w:rsidRDefault="009230C6" w:rsidP="0062072D">
          <w:pPr>
            <w:pStyle w:val="BPhivatal"/>
          </w:pPr>
        </w:p>
      </w:tc>
    </w:tr>
    <w:tr w:rsidR="009230C6" w:rsidRPr="00BB3B91" w:rsidTr="00927B03">
      <w:trPr>
        <w:trHeight w:hRule="exact" w:val="20"/>
      </w:trPr>
      <w:tc>
        <w:tcPr>
          <w:tcW w:w="2783" w:type="pct"/>
          <w:vMerge/>
          <w:tcBorders>
            <w:top w:val="nil"/>
            <w:left w:val="nil"/>
            <w:bottom w:val="nil"/>
            <w:right w:val="nil"/>
          </w:tcBorders>
          <w:noWrap/>
        </w:tcPr>
        <w:p w:rsidR="009230C6" w:rsidRPr="00BB3B91" w:rsidRDefault="009230C6" w:rsidP="00E034BF">
          <w:pPr>
            <w:jc w:val="right"/>
            <w:rPr>
              <w:rFonts w:ascii="Arial" w:hAnsi="Arial" w:cs="Arial"/>
            </w:rPr>
          </w:pPr>
        </w:p>
      </w:tc>
      <w:tc>
        <w:tcPr>
          <w:tcW w:w="2217" w:type="pct"/>
          <w:gridSpan w:val="2"/>
          <w:tcBorders>
            <w:top w:val="nil"/>
            <w:left w:val="nil"/>
            <w:bottom w:val="nil"/>
            <w:right w:val="nil"/>
          </w:tcBorders>
          <w:noWrap/>
          <w:vAlign w:val="center"/>
        </w:tcPr>
        <w:p w:rsidR="009230C6" w:rsidRPr="00BB3B91" w:rsidRDefault="009230C6" w:rsidP="00E034BF">
          <w:pPr>
            <w:pStyle w:val="BPhivatal"/>
            <w:rPr>
              <w:rFonts w:ascii="Arial" w:hAnsi="Arial"/>
              <w:position w:val="-14"/>
              <w:szCs w:val="20"/>
            </w:rPr>
          </w:pPr>
        </w:p>
      </w:tc>
    </w:tr>
    <w:tr w:rsidR="009230C6" w:rsidRPr="000208F8" w:rsidTr="00927B03">
      <w:trPr>
        <w:trHeight w:val="510"/>
      </w:trPr>
      <w:tc>
        <w:tcPr>
          <w:tcW w:w="2783" w:type="pct"/>
          <w:vMerge/>
          <w:tcBorders>
            <w:top w:val="nil"/>
            <w:left w:val="nil"/>
            <w:bottom w:val="nil"/>
            <w:right w:val="nil"/>
          </w:tcBorders>
          <w:noWrap/>
        </w:tcPr>
        <w:p w:rsidR="009230C6" w:rsidRPr="00BB3B91" w:rsidRDefault="009230C6" w:rsidP="00E034BF">
          <w:pPr>
            <w:rPr>
              <w:rFonts w:ascii="Arial" w:hAnsi="Arial" w:cs="Arial"/>
            </w:rPr>
          </w:pPr>
        </w:p>
      </w:tc>
      <w:tc>
        <w:tcPr>
          <w:tcW w:w="2217" w:type="pct"/>
          <w:gridSpan w:val="2"/>
          <w:tcBorders>
            <w:top w:val="nil"/>
            <w:left w:val="nil"/>
            <w:bottom w:val="nil"/>
            <w:right w:val="nil"/>
          </w:tcBorders>
          <w:tcMar>
            <w:top w:w="28" w:type="dxa"/>
          </w:tcMar>
        </w:tcPr>
        <w:p w:rsidR="009230C6" w:rsidRPr="000208F8" w:rsidRDefault="009230C6" w:rsidP="000331D5">
          <w:pPr>
            <w:pStyle w:val="BPhivatal"/>
          </w:pPr>
          <w:r>
            <w:t>Városfejlesztési Főpolgármester-helyettesi Iroda</w:t>
          </w:r>
        </w:p>
      </w:tc>
    </w:tr>
    <w:tr w:rsidR="009230C6" w:rsidRPr="00BB3B91" w:rsidTr="00CA2D81">
      <w:tblPrEx>
        <w:tblCellMar>
          <w:bottom w:w="0" w:type="dxa"/>
        </w:tblCellMar>
      </w:tblPrEx>
      <w:trPr>
        <w:trHeight w:val="1077"/>
      </w:trPr>
      <w:tc>
        <w:tcPr>
          <w:tcW w:w="2783" w:type="pct"/>
          <w:tcBorders>
            <w:top w:val="nil"/>
            <w:left w:val="nil"/>
            <w:bottom w:val="single" w:sz="2" w:space="0" w:color="auto"/>
            <w:right w:val="nil"/>
          </w:tcBorders>
          <w:vAlign w:val="bottom"/>
        </w:tcPr>
        <w:p w:rsidR="009230C6" w:rsidRPr="00CA2D81" w:rsidRDefault="009230C6" w:rsidP="00CA2D81">
          <w:pPr>
            <w:spacing w:after="60" w:line="240" w:lineRule="auto"/>
            <w:rPr>
              <w:rFonts w:ascii="Arial" w:hAnsi="Arial" w:cs="Arial"/>
              <w:noProof/>
              <w:sz w:val="16"/>
              <w:lang w:eastAsia="hu-HU"/>
            </w:rPr>
          </w:pPr>
          <w:r w:rsidRPr="007D0B6B">
            <w:rPr>
              <w:rStyle w:val="Helyrzszveg"/>
            </w:rPr>
            <w:t>[Vonalkód]</w:t>
          </w:r>
        </w:p>
        <w:p w:rsidR="009230C6" w:rsidRPr="00CA2D81" w:rsidRDefault="009230C6" w:rsidP="008B7002">
          <w:pPr>
            <w:pStyle w:val="BPbarcode"/>
            <w:ind w:left="482"/>
            <w:rPr>
              <w:rFonts w:ascii="Arial Narrow" w:hAnsi="Arial Narrow"/>
              <w:szCs w:val="16"/>
            </w:rPr>
          </w:pPr>
          <w:r w:rsidRPr="007D0B6B">
            <w:rPr>
              <w:rStyle w:val="Helyrzszveg"/>
            </w:rPr>
            <w:t>[Vonalkód]</w:t>
          </w:r>
        </w:p>
      </w:tc>
      <w:tc>
        <w:tcPr>
          <w:tcW w:w="521" w:type="pct"/>
          <w:tcBorders>
            <w:top w:val="nil"/>
            <w:left w:val="nil"/>
            <w:bottom w:val="single" w:sz="2" w:space="0" w:color="auto"/>
            <w:right w:val="nil"/>
          </w:tcBorders>
          <w:tcMar>
            <w:top w:w="170" w:type="dxa"/>
            <w:left w:w="0" w:type="dxa"/>
            <w:bottom w:w="0" w:type="dxa"/>
            <w:right w:w="113" w:type="dxa"/>
          </w:tcMar>
          <w:vAlign w:val="bottom"/>
        </w:tcPr>
        <w:p w:rsidR="009230C6" w:rsidRPr="009073EE" w:rsidRDefault="009230C6" w:rsidP="002E3E9E">
          <w:pPr>
            <w:pStyle w:val="BPiktatcm"/>
          </w:pPr>
          <w:r w:rsidRPr="009073EE">
            <w:t>ikt. szám:</w:t>
          </w:r>
        </w:p>
      </w:tc>
      <w:tc>
        <w:tcPr>
          <w:tcW w:w="1696" w:type="pct"/>
          <w:tcBorders>
            <w:top w:val="nil"/>
            <w:left w:val="nil"/>
            <w:bottom w:val="single" w:sz="2" w:space="0" w:color="auto"/>
            <w:right w:val="nil"/>
          </w:tcBorders>
          <w:vAlign w:val="bottom"/>
        </w:tcPr>
        <w:p w:rsidR="009230C6" w:rsidRPr="00A506A3" w:rsidRDefault="009230C6" w:rsidP="00BF4716">
          <w:pPr>
            <w:pStyle w:val="BPiktatadat"/>
          </w:pPr>
          <w:r w:rsidRPr="00972920">
            <w:t>[Iktatószám]</w:t>
          </w:r>
        </w:p>
      </w:tc>
    </w:tr>
    <w:tr w:rsidR="009230C6" w:rsidRPr="00BB3B91" w:rsidTr="00927B03">
      <w:tblPrEx>
        <w:tblCellMar>
          <w:bottom w:w="0" w:type="dxa"/>
        </w:tblCellMar>
      </w:tblPrEx>
      <w:trPr>
        <w:trHeight w:val="340"/>
      </w:trPr>
      <w:tc>
        <w:tcPr>
          <w:tcW w:w="2783" w:type="pct"/>
          <w:tcBorders>
            <w:top w:val="single" w:sz="2" w:space="0" w:color="auto"/>
            <w:left w:val="nil"/>
            <w:bottom w:val="single" w:sz="12" w:space="0" w:color="auto"/>
            <w:right w:val="nil"/>
          </w:tcBorders>
          <w:tcMar>
            <w:top w:w="85" w:type="dxa"/>
          </w:tcMar>
          <w:vAlign w:val="center"/>
        </w:tcPr>
        <w:p w:rsidR="009230C6" w:rsidRPr="0016501D" w:rsidRDefault="009230C6" w:rsidP="003007BB">
          <w:pPr>
            <w:pStyle w:val="BPcmzett"/>
          </w:pPr>
          <w:proofErr w:type="spellStart"/>
          <w:r>
            <w:t>Gerőfi</w:t>
          </w:r>
          <w:proofErr w:type="spellEnd"/>
          <w:r>
            <w:t xml:space="preserve"> Levente úr részére</w:t>
          </w:r>
        </w:p>
      </w:tc>
      <w:tc>
        <w:tcPr>
          <w:tcW w:w="2217" w:type="pct"/>
          <w:gridSpan w:val="2"/>
          <w:vMerge w:val="restart"/>
          <w:tcBorders>
            <w:top w:val="single" w:sz="2" w:space="0" w:color="auto"/>
            <w:left w:val="nil"/>
            <w:right w:val="nil"/>
          </w:tcBorders>
          <w:tcMar>
            <w:top w:w="85" w:type="dxa"/>
            <w:left w:w="0" w:type="dxa"/>
            <w:bottom w:w="0" w:type="dxa"/>
          </w:tcMar>
        </w:tcPr>
        <w:p w:rsidR="009230C6" w:rsidRPr="00A506A3" w:rsidRDefault="009230C6" w:rsidP="00BF4716">
          <w:pPr>
            <w:pStyle w:val="BPiktatadat"/>
          </w:pPr>
        </w:p>
      </w:tc>
    </w:tr>
    <w:tr w:rsidR="009230C6" w:rsidRPr="00BB3B91" w:rsidTr="00927B03">
      <w:tblPrEx>
        <w:tblCellMar>
          <w:bottom w:w="0" w:type="dxa"/>
        </w:tblCellMar>
      </w:tblPrEx>
      <w:trPr>
        <w:trHeight w:val="1759"/>
      </w:trPr>
      <w:tc>
        <w:tcPr>
          <w:tcW w:w="2783" w:type="pct"/>
          <w:tcBorders>
            <w:top w:val="single" w:sz="12" w:space="0" w:color="auto"/>
            <w:left w:val="nil"/>
            <w:bottom w:val="nil"/>
            <w:right w:val="nil"/>
          </w:tcBorders>
          <w:tcMar>
            <w:top w:w="85" w:type="dxa"/>
          </w:tcMar>
        </w:tcPr>
        <w:p w:rsidR="009230C6" w:rsidRDefault="009230C6" w:rsidP="003007BB">
          <w:pPr>
            <w:pStyle w:val="BPcmzs"/>
          </w:pPr>
        </w:p>
        <w:p w:rsidR="009230C6" w:rsidRDefault="009230C6" w:rsidP="003007BB">
          <w:pPr>
            <w:pStyle w:val="BPcmzs"/>
          </w:pPr>
          <w:hyperlink r:id="rId1" w:history="1">
            <w:r w:rsidRPr="00724803">
              <w:rPr>
                <w:rStyle w:val="Hiperhivatkozs"/>
              </w:rPr>
              <w:t>gerofi2@freemail.hu</w:t>
            </w:r>
          </w:hyperlink>
        </w:p>
        <w:p w:rsidR="009230C6" w:rsidRPr="00BB3B91" w:rsidRDefault="009230C6" w:rsidP="003007BB">
          <w:pPr>
            <w:pStyle w:val="BPcmzs"/>
          </w:pPr>
        </w:p>
      </w:tc>
      <w:tc>
        <w:tcPr>
          <w:tcW w:w="2217" w:type="pct"/>
          <w:gridSpan w:val="2"/>
          <w:vMerge/>
          <w:tcBorders>
            <w:left w:val="nil"/>
            <w:bottom w:val="nil"/>
            <w:right w:val="nil"/>
          </w:tcBorders>
          <w:tcMar>
            <w:top w:w="85" w:type="dxa"/>
            <w:left w:w="0" w:type="dxa"/>
            <w:bottom w:w="0" w:type="dxa"/>
          </w:tcMar>
        </w:tcPr>
        <w:p w:rsidR="009230C6" w:rsidRPr="00A506A3" w:rsidRDefault="009230C6" w:rsidP="00BF4716">
          <w:pPr>
            <w:pStyle w:val="BPiktatadat"/>
          </w:pPr>
        </w:p>
      </w:tc>
    </w:tr>
  </w:tbl>
  <w:p w:rsidR="009230C6" w:rsidRDefault="00CA27C7">
    <w:pPr>
      <w:pStyle w:val="lfej"/>
    </w:pPr>
    <w:r>
      <w:rPr>
        <w:noProof/>
        <w:lang w:eastAsia="hu-HU"/>
      </w:rPr>
      <w:drawing>
        <wp:anchor distT="0" distB="0" distL="114300" distR="114300" simplePos="0" relativeHeight="251659776" behindDoc="1" locked="1" layoutInCell="0" allowOverlap="1">
          <wp:simplePos x="0" y="0"/>
          <wp:positionH relativeFrom="page">
            <wp:posOffset>827405</wp:posOffset>
          </wp:positionH>
          <wp:positionV relativeFrom="page">
            <wp:posOffset>353695</wp:posOffset>
          </wp:positionV>
          <wp:extent cx="6048375" cy="546735"/>
          <wp:effectExtent l="19050" t="0" r="9525" b="0"/>
          <wp:wrapNone/>
          <wp:docPr id="5" name="Kép 4" descr="fejlec_ff_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ec_ff_0b.png"/>
                  <pic:cNvPicPr>
                    <a:picLocks noChangeAspect="1" noChangeArrowheads="1"/>
                  </pic:cNvPicPr>
                </pic:nvPicPr>
                <pic:blipFill>
                  <a:blip r:embed="rId2"/>
                  <a:srcRect/>
                  <a:stretch>
                    <a:fillRect/>
                  </a:stretch>
                </pic:blipFill>
                <pic:spPr bwMode="auto">
                  <a:xfrm>
                    <a:off x="0" y="0"/>
                    <a:ext cx="6048375" cy="546735"/>
                  </a:xfrm>
                  <a:prstGeom prst="rect">
                    <a:avLst/>
                  </a:prstGeom>
                  <a:noFill/>
                  <a:ln w="9525">
                    <a:noFill/>
                    <a:miter lim="800000"/>
                    <a:headEnd/>
                    <a:tailEnd/>
                  </a:ln>
                </pic:spPr>
              </pic:pic>
            </a:graphicData>
          </a:graphic>
        </wp:anchor>
      </w:drawing>
    </w:r>
    <w:r w:rsidR="009230C6">
      <w:rPr>
        <w:noProof/>
        <w:lang w:eastAsia="hu-HU"/>
      </w:rPr>
      <w:pict>
        <v:shapetype id="_x0000_t32" coordsize="21600,21600" o:spt="32" o:oned="t" path="m,l21600,21600e" filled="f">
          <v:path arrowok="t" fillok="f" o:connecttype="none"/>
          <o:lock v:ext="edit" shapetype="t"/>
        </v:shapetype>
        <v:shape id="_x0000_s2052" type="#_x0000_t32" style="position:absolute;margin-left:25.5pt;margin-top:595.35pt;width:28.35pt;height:0;z-index:251658752;mso-position-horizontal-relative:page;mso-position-vertical-relative:page" o:connectortype="straight" o:allowincell="f" o:allowoverlap="f" strokeweight="1.75pt">
          <w10:wrap anchorx="margin" anchory="margin"/>
          <w10:anchorlock/>
        </v:shape>
      </w:pict>
    </w:r>
    <w:r w:rsidR="009230C6">
      <w:rPr>
        <w:noProof/>
        <w:lang w:eastAsia="hu-HU"/>
      </w:rPr>
      <w:pict>
        <v:shape id="_x0000_s2051" type="#_x0000_t32" style="position:absolute;margin-left:25.5pt;margin-top:297.7pt;width:28.35pt;height:0;z-index:-251658752;mso-position-horizontal-relative:page;mso-position-vertical-relative:page" o:connectortype="straight" o:allowincell="f" o:allowoverlap="f" strokeweight="1.75pt">
          <w10:wrap anchorx="margin"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57F4"/>
    <w:lvl w:ilvl="0">
      <w:start w:val="1"/>
      <w:numFmt w:val="decimal"/>
      <w:lvlText w:val="%1."/>
      <w:lvlJc w:val="left"/>
      <w:pPr>
        <w:tabs>
          <w:tab w:val="num" w:pos="1492"/>
        </w:tabs>
        <w:ind w:left="1492" w:hanging="360"/>
      </w:pPr>
    </w:lvl>
  </w:abstractNum>
  <w:abstractNum w:abstractNumId="1">
    <w:nsid w:val="FFFFFF7D"/>
    <w:multiLevelType w:val="singleLevel"/>
    <w:tmpl w:val="81342BBE"/>
    <w:lvl w:ilvl="0">
      <w:start w:val="1"/>
      <w:numFmt w:val="decimal"/>
      <w:lvlText w:val="%1."/>
      <w:lvlJc w:val="left"/>
      <w:pPr>
        <w:tabs>
          <w:tab w:val="num" w:pos="1209"/>
        </w:tabs>
        <w:ind w:left="1209" w:hanging="360"/>
      </w:pPr>
    </w:lvl>
  </w:abstractNum>
  <w:abstractNum w:abstractNumId="2">
    <w:nsid w:val="FFFFFF7E"/>
    <w:multiLevelType w:val="singleLevel"/>
    <w:tmpl w:val="FAB6E086"/>
    <w:lvl w:ilvl="0">
      <w:start w:val="1"/>
      <w:numFmt w:val="decimal"/>
      <w:lvlText w:val="%1."/>
      <w:lvlJc w:val="left"/>
      <w:pPr>
        <w:tabs>
          <w:tab w:val="num" w:pos="926"/>
        </w:tabs>
        <w:ind w:left="926" w:hanging="360"/>
      </w:pPr>
    </w:lvl>
  </w:abstractNum>
  <w:abstractNum w:abstractNumId="3">
    <w:nsid w:val="FFFFFF7F"/>
    <w:multiLevelType w:val="singleLevel"/>
    <w:tmpl w:val="5FFEFE64"/>
    <w:lvl w:ilvl="0">
      <w:start w:val="1"/>
      <w:numFmt w:val="decimal"/>
      <w:lvlText w:val="%1."/>
      <w:lvlJc w:val="left"/>
      <w:pPr>
        <w:tabs>
          <w:tab w:val="num" w:pos="643"/>
        </w:tabs>
        <w:ind w:left="643" w:hanging="360"/>
      </w:pPr>
    </w:lvl>
  </w:abstractNum>
  <w:abstractNum w:abstractNumId="4">
    <w:nsid w:val="FFFFFF80"/>
    <w:multiLevelType w:val="singleLevel"/>
    <w:tmpl w:val="C0F62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E04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E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98C2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DCA828"/>
    <w:lvl w:ilvl="0">
      <w:start w:val="1"/>
      <w:numFmt w:val="decimal"/>
      <w:lvlText w:val="%1."/>
      <w:lvlJc w:val="left"/>
      <w:pPr>
        <w:tabs>
          <w:tab w:val="num" w:pos="360"/>
        </w:tabs>
        <w:ind w:left="360" w:hanging="360"/>
      </w:pPr>
    </w:lvl>
  </w:abstractNum>
  <w:abstractNum w:abstractNumId="9">
    <w:nsid w:val="FFFFFF89"/>
    <w:multiLevelType w:val="singleLevel"/>
    <w:tmpl w:val="92FC4A10"/>
    <w:lvl w:ilvl="0">
      <w:start w:val="1"/>
      <w:numFmt w:val="bullet"/>
      <w:lvlText w:val=""/>
      <w:lvlJc w:val="left"/>
      <w:pPr>
        <w:tabs>
          <w:tab w:val="num" w:pos="360"/>
        </w:tabs>
        <w:ind w:left="360" w:hanging="360"/>
      </w:pPr>
      <w:rPr>
        <w:rFonts w:ascii="Symbol" w:hAnsi="Symbol" w:hint="default"/>
      </w:rPr>
    </w:lvl>
  </w:abstractNum>
  <w:abstractNum w:abstractNumId="10">
    <w:nsid w:val="018D2F8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C4408A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30240297"/>
    <w:multiLevelType w:val="hybridMultilevel"/>
    <w:tmpl w:val="221E45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AD7AF7"/>
    <w:multiLevelType w:val="hybridMultilevel"/>
    <w:tmpl w:val="6CD49C7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5E390713"/>
    <w:multiLevelType w:val="hybridMultilevel"/>
    <w:tmpl w:val="553E8D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646B340A"/>
    <w:multiLevelType w:val="hybridMultilevel"/>
    <w:tmpl w:val="2E827F74"/>
    <w:lvl w:ilvl="0" w:tplc="040E0001">
      <w:start w:val="1"/>
      <w:numFmt w:val="bullet"/>
      <w:lvlText w:val=""/>
      <w:lvlJc w:val="left"/>
      <w:pPr>
        <w:ind w:left="1429"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8"/>
    <o:shapelayout v:ext="edit">
      <o:idmap v:ext="edit" data="2"/>
      <o:rules v:ext="edit">
        <o:r id="V:Rule5" type="connector" idref="#_x0000_s2050"/>
        <o:r id="V:Rule6" type="connector" idref="#_x0000_s2052"/>
        <o:r id="V:Rule7" type="connector" idref="#_x0000_s2051"/>
        <o:r id="V:Rule8" type="connector" idref="#_x0000_s2049"/>
      </o:rules>
    </o:shapelayout>
  </w:hdrShapeDefaults>
  <w:footnotePr>
    <w:footnote w:id="-1"/>
    <w:footnote w:id="0"/>
  </w:footnotePr>
  <w:endnotePr>
    <w:endnote w:id="-1"/>
    <w:endnote w:id="0"/>
  </w:endnotePr>
  <w:compat/>
  <w:rsids>
    <w:rsidRoot w:val="007D58FD"/>
    <w:rsid w:val="00000B07"/>
    <w:rsid w:val="000208F8"/>
    <w:rsid w:val="00020E73"/>
    <w:rsid w:val="0002146C"/>
    <w:rsid w:val="000238D4"/>
    <w:rsid w:val="00027E85"/>
    <w:rsid w:val="00030426"/>
    <w:rsid w:val="000331D5"/>
    <w:rsid w:val="00036267"/>
    <w:rsid w:val="00037B06"/>
    <w:rsid w:val="00044463"/>
    <w:rsid w:val="000523FA"/>
    <w:rsid w:val="00052F5F"/>
    <w:rsid w:val="000705D0"/>
    <w:rsid w:val="0007538F"/>
    <w:rsid w:val="0007707F"/>
    <w:rsid w:val="00083ECC"/>
    <w:rsid w:val="0009613F"/>
    <w:rsid w:val="000A513C"/>
    <w:rsid w:val="000A6FCC"/>
    <w:rsid w:val="000B3908"/>
    <w:rsid w:val="000B5409"/>
    <w:rsid w:val="000C1E00"/>
    <w:rsid w:val="000C6912"/>
    <w:rsid w:val="000D0030"/>
    <w:rsid w:val="000D0470"/>
    <w:rsid w:val="000D29D3"/>
    <w:rsid w:val="000D497C"/>
    <w:rsid w:val="000D6D7C"/>
    <w:rsid w:val="000D7F5C"/>
    <w:rsid w:val="000E1C53"/>
    <w:rsid w:val="000E3CA8"/>
    <w:rsid w:val="000E3EC6"/>
    <w:rsid w:val="000E415D"/>
    <w:rsid w:val="000F038F"/>
    <w:rsid w:val="000F1A9B"/>
    <w:rsid w:val="00100C5D"/>
    <w:rsid w:val="001045D7"/>
    <w:rsid w:val="00104BF8"/>
    <w:rsid w:val="00111D92"/>
    <w:rsid w:val="00111EAB"/>
    <w:rsid w:val="0011203A"/>
    <w:rsid w:val="00112D11"/>
    <w:rsid w:val="001214C0"/>
    <w:rsid w:val="001260A0"/>
    <w:rsid w:val="00126A06"/>
    <w:rsid w:val="0012711D"/>
    <w:rsid w:val="00137CC8"/>
    <w:rsid w:val="00143C16"/>
    <w:rsid w:val="00144B7D"/>
    <w:rsid w:val="0014547C"/>
    <w:rsid w:val="00145ECE"/>
    <w:rsid w:val="00146AB2"/>
    <w:rsid w:val="00153351"/>
    <w:rsid w:val="00153851"/>
    <w:rsid w:val="00161BDA"/>
    <w:rsid w:val="001634CF"/>
    <w:rsid w:val="0016501D"/>
    <w:rsid w:val="00170704"/>
    <w:rsid w:val="00172B03"/>
    <w:rsid w:val="00180DFD"/>
    <w:rsid w:val="00181F81"/>
    <w:rsid w:val="0018646A"/>
    <w:rsid w:val="0019711C"/>
    <w:rsid w:val="001A24F2"/>
    <w:rsid w:val="001A2AA0"/>
    <w:rsid w:val="001A2FB7"/>
    <w:rsid w:val="001A32FC"/>
    <w:rsid w:val="001A5FC4"/>
    <w:rsid w:val="001A6407"/>
    <w:rsid w:val="001A78E7"/>
    <w:rsid w:val="001C3A11"/>
    <w:rsid w:val="001C4434"/>
    <w:rsid w:val="001C6175"/>
    <w:rsid w:val="001C662D"/>
    <w:rsid w:val="001D2C47"/>
    <w:rsid w:val="001D647A"/>
    <w:rsid w:val="001D74DB"/>
    <w:rsid w:val="001E0175"/>
    <w:rsid w:val="001E1EC8"/>
    <w:rsid w:val="001E259D"/>
    <w:rsid w:val="001E2B86"/>
    <w:rsid w:val="001E3D39"/>
    <w:rsid w:val="001E461C"/>
    <w:rsid w:val="001E7744"/>
    <w:rsid w:val="001F4240"/>
    <w:rsid w:val="001F63F5"/>
    <w:rsid w:val="001F72FE"/>
    <w:rsid w:val="001F76DA"/>
    <w:rsid w:val="00200539"/>
    <w:rsid w:val="00202B33"/>
    <w:rsid w:val="00206801"/>
    <w:rsid w:val="00207F40"/>
    <w:rsid w:val="00211113"/>
    <w:rsid w:val="002111C7"/>
    <w:rsid w:val="002116EC"/>
    <w:rsid w:val="00213467"/>
    <w:rsid w:val="00215BB0"/>
    <w:rsid w:val="00217895"/>
    <w:rsid w:val="00220DB4"/>
    <w:rsid w:val="002216ED"/>
    <w:rsid w:val="0022576A"/>
    <w:rsid w:val="002311C7"/>
    <w:rsid w:val="0023647A"/>
    <w:rsid w:val="00241DAB"/>
    <w:rsid w:val="002444CE"/>
    <w:rsid w:val="00254434"/>
    <w:rsid w:val="00254973"/>
    <w:rsid w:val="0026276C"/>
    <w:rsid w:val="00262C6F"/>
    <w:rsid w:val="00275336"/>
    <w:rsid w:val="0027632F"/>
    <w:rsid w:val="00276F5E"/>
    <w:rsid w:val="00281277"/>
    <w:rsid w:val="00283ADA"/>
    <w:rsid w:val="0028419C"/>
    <w:rsid w:val="00290C58"/>
    <w:rsid w:val="00294D62"/>
    <w:rsid w:val="00296863"/>
    <w:rsid w:val="00296B73"/>
    <w:rsid w:val="00297B2E"/>
    <w:rsid w:val="002A1647"/>
    <w:rsid w:val="002A2900"/>
    <w:rsid w:val="002B0552"/>
    <w:rsid w:val="002B3AB4"/>
    <w:rsid w:val="002C060E"/>
    <w:rsid w:val="002C3258"/>
    <w:rsid w:val="002C7AEE"/>
    <w:rsid w:val="002D2691"/>
    <w:rsid w:val="002D5708"/>
    <w:rsid w:val="002D57EC"/>
    <w:rsid w:val="002D7C44"/>
    <w:rsid w:val="002E0ADD"/>
    <w:rsid w:val="002E0CC6"/>
    <w:rsid w:val="002E19D0"/>
    <w:rsid w:val="002E3E9E"/>
    <w:rsid w:val="002E71C7"/>
    <w:rsid w:val="002F214C"/>
    <w:rsid w:val="002F545F"/>
    <w:rsid w:val="002F794E"/>
    <w:rsid w:val="003007BB"/>
    <w:rsid w:val="0030144B"/>
    <w:rsid w:val="00311F5A"/>
    <w:rsid w:val="003134C6"/>
    <w:rsid w:val="00314C03"/>
    <w:rsid w:val="0031513F"/>
    <w:rsid w:val="0031703B"/>
    <w:rsid w:val="00335584"/>
    <w:rsid w:val="00336B48"/>
    <w:rsid w:val="003550B8"/>
    <w:rsid w:val="00357C97"/>
    <w:rsid w:val="003701AF"/>
    <w:rsid w:val="00374E4A"/>
    <w:rsid w:val="00375D5D"/>
    <w:rsid w:val="00385F13"/>
    <w:rsid w:val="003864FB"/>
    <w:rsid w:val="00386BF0"/>
    <w:rsid w:val="003A3475"/>
    <w:rsid w:val="003A770F"/>
    <w:rsid w:val="003B09F1"/>
    <w:rsid w:val="003B2031"/>
    <w:rsid w:val="003B485B"/>
    <w:rsid w:val="003C352D"/>
    <w:rsid w:val="003D6592"/>
    <w:rsid w:val="003D693F"/>
    <w:rsid w:val="003E022B"/>
    <w:rsid w:val="003E089F"/>
    <w:rsid w:val="003E624E"/>
    <w:rsid w:val="003F36FB"/>
    <w:rsid w:val="003F5C8A"/>
    <w:rsid w:val="00400B1B"/>
    <w:rsid w:val="00404CDA"/>
    <w:rsid w:val="0041243F"/>
    <w:rsid w:val="00415F17"/>
    <w:rsid w:val="0042098D"/>
    <w:rsid w:val="00421571"/>
    <w:rsid w:val="00430D4B"/>
    <w:rsid w:val="00431D09"/>
    <w:rsid w:val="00450111"/>
    <w:rsid w:val="004526DB"/>
    <w:rsid w:val="00453356"/>
    <w:rsid w:val="00455882"/>
    <w:rsid w:val="004558FE"/>
    <w:rsid w:val="00462B59"/>
    <w:rsid w:val="00463ECF"/>
    <w:rsid w:val="00473417"/>
    <w:rsid w:val="00480FA8"/>
    <w:rsid w:val="00485E46"/>
    <w:rsid w:val="004878A8"/>
    <w:rsid w:val="00490854"/>
    <w:rsid w:val="00496A1A"/>
    <w:rsid w:val="004A0BC2"/>
    <w:rsid w:val="004A3C59"/>
    <w:rsid w:val="004A423F"/>
    <w:rsid w:val="004B103D"/>
    <w:rsid w:val="004C38DB"/>
    <w:rsid w:val="004C599C"/>
    <w:rsid w:val="004D3B47"/>
    <w:rsid w:val="004D49D4"/>
    <w:rsid w:val="004D6563"/>
    <w:rsid w:val="004E6074"/>
    <w:rsid w:val="004E7D10"/>
    <w:rsid w:val="004F3C7D"/>
    <w:rsid w:val="00500703"/>
    <w:rsid w:val="00507BA6"/>
    <w:rsid w:val="00511DEF"/>
    <w:rsid w:val="00512584"/>
    <w:rsid w:val="005130B0"/>
    <w:rsid w:val="00514CB7"/>
    <w:rsid w:val="00515F43"/>
    <w:rsid w:val="0051661B"/>
    <w:rsid w:val="00520C73"/>
    <w:rsid w:val="00523FE7"/>
    <w:rsid w:val="005302F8"/>
    <w:rsid w:val="00535135"/>
    <w:rsid w:val="00535CCF"/>
    <w:rsid w:val="00535CFB"/>
    <w:rsid w:val="00540751"/>
    <w:rsid w:val="00540BBC"/>
    <w:rsid w:val="005466CE"/>
    <w:rsid w:val="00554E06"/>
    <w:rsid w:val="00560B96"/>
    <w:rsid w:val="00571E6F"/>
    <w:rsid w:val="005811CD"/>
    <w:rsid w:val="00585530"/>
    <w:rsid w:val="00595DDB"/>
    <w:rsid w:val="005A20D1"/>
    <w:rsid w:val="005B2B60"/>
    <w:rsid w:val="005D1CB4"/>
    <w:rsid w:val="005D366F"/>
    <w:rsid w:val="005D7D2F"/>
    <w:rsid w:val="005E01A7"/>
    <w:rsid w:val="005E52DB"/>
    <w:rsid w:val="005F52E2"/>
    <w:rsid w:val="006009C0"/>
    <w:rsid w:val="00606631"/>
    <w:rsid w:val="00615143"/>
    <w:rsid w:val="0062072D"/>
    <w:rsid w:val="00626218"/>
    <w:rsid w:val="00631F8F"/>
    <w:rsid w:val="00632DE4"/>
    <w:rsid w:val="0063788D"/>
    <w:rsid w:val="00640349"/>
    <w:rsid w:val="006411BC"/>
    <w:rsid w:val="006414CE"/>
    <w:rsid w:val="006416E0"/>
    <w:rsid w:val="0064310E"/>
    <w:rsid w:val="006433BC"/>
    <w:rsid w:val="00643EA8"/>
    <w:rsid w:val="00645D4A"/>
    <w:rsid w:val="00650A97"/>
    <w:rsid w:val="00653CAB"/>
    <w:rsid w:val="00656497"/>
    <w:rsid w:val="006732F1"/>
    <w:rsid w:val="00675E69"/>
    <w:rsid w:val="00682CB9"/>
    <w:rsid w:val="006900CB"/>
    <w:rsid w:val="0069708E"/>
    <w:rsid w:val="006A2622"/>
    <w:rsid w:val="006A2800"/>
    <w:rsid w:val="006B6295"/>
    <w:rsid w:val="006C3E38"/>
    <w:rsid w:val="006C4FE9"/>
    <w:rsid w:val="006C50E7"/>
    <w:rsid w:val="006C5E10"/>
    <w:rsid w:val="006D3E84"/>
    <w:rsid w:val="006D7F37"/>
    <w:rsid w:val="006F25AB"/>
    <w:rsid w:val="006F662D"/>
    <w:rsid w:val="00700F3B"/>
    <w:rsid w:val="00704E2E"/>
    <w:rsid w:val="00715F0F"/>
    <w:rsid w:val="0072111A"/>
    <w:rsid w:val="00723A5C"/>
    <w:rsid w:val="00723B8B"/>
    <w:rsid w:val="00731E63"/>
    <w:rsid w:val="00735D1C"/>
    <w:rsid w:val="00740966"/>
    <w:rsid w:val="00746AD6"/>
    <w:rsid w:val="0075227F"/>
    <w:rsid w:val="00752529"/>
    <w:rsid w:val="00755F7E"/>
    <w:rsid w:val="00760019"/>
    <w:rsid w:val="007600A9"/>
    <w:rsid w:val="0076187B"/>
    <w:rsid w:val="00762648"/>
    <w:rsid w:val="00764E1B"/>
    <w:rsid w:val="0077035F"/>
    <w:rsid w:val="00770C74"/>
    <w:rsid w:val="00773569"/>
    <w:rsid w:val="00780907"/>
    <w:rsid w:val="007905FC"/>
    <w:rsid w:val="007A049D"/>
    <w:rsid w:val="007A5996"/>
    <w:rsid w:val="007A5DF7"/>
    <w:rsid w:val="007B2185"/>
    <w:rsid w:val="007B34B0"/>
    <w:rsid w:val="007B3F70"/>
    <w:rsid w:val="007B7291"/>
    <w:rsid w:val="007C1BEC"/>
    <w:rsid w:val="007C1C66"/>
    <w:rsid w:val="007C31E1"/>
    <w:rsid w:val="007D0186"/>
    <w:rsid w:val="007D190B"/>
    <w:rsid w:val="007D3733"/>
    <w:rsid w:val="007D58FD"/>
    <w:rsid w:val="007D622C"/>
    <w:rsid w:val="007D7CF4"/>
    <w:rsid w:val="007E4B63"/>
    <w:rsid w:val="007F2293"/>
    <w:rsid w:val="007F23C1"/>
    <w:rsid w:val="007F5171"/>
    <w:rsid w:val="00801AC7"/>
    <w:rsid w:val="00804559"/>
    <w:rsid w:val="0081491C"/>
    <w:rsid w:val="00817CBB"/>
    <w:rsid w:val="008245A3"/>
    <w:rsid w:val="008278F8"/>
    <w:rsid w:val="008306E5"/>
    <w:rsid w:val="00835883"/>
    <w:rsid w:val="008433B2"/>
    <w:rsid w:val="008439F7"/>
    <w:rsid w:val="008532DA"/>
    <w:rsid w:val="00854114"/>
    <w:rsid w:val="00854369"/>
    <w:rsid w:val="008557DB"/>
    <w:rsid w:val="00872130"/>
    <w:rsid w:val="00884174"/>
    <w:rsid w:val="00891B4A"/>
    <w:rsid w:val="008A05C9"/>
    <w:rsid w:val="008A7BCD"/>
    <w:rsid w:val="008B2185"/>
    <w:rsid w:val="008B3231"/>
    <w:rsid w:val="008B3B87"/>
    <w:rsid w:val="008B524B"/>
    <w:rsid w:val="008B7002"/>
    <w:rsid w:val="008C3F74"/>
    <w:rsid w:val="008C6567"/>
    <w:rsid w:val="008E0E8D"/>
    <w:rsid w:val="008E3CCC"/>
    <w:rsid w:val="008E7135"/>
    <w:rsid w:val="008F4649"/>
    <w:rsid w:val="008F5C37"/>
    <w:rsid w:val="00900390"/>
    <w:rsid w:val="009073EE"/>
    <w:rsid w:val="0090741B"/>
    <w:rsid w:val="009074CA"/>
    <w:rsid w:val="00911296"/>
    <w:rsid w:val="00914318"/>
    <w:rsid w:val="00920F96"/>
    <w:rsid w:val="00920FE9"/>
    <w:rsid w:val="009230C6"/>
    <w:rsid w:val="009255CD"/>
    <w:rsid w:val="00925C2D"/>
    <w:rsid w:val="00927B03"/>
    <w:rsid w:val="0093017A"/>
    <w:rsid w:val="00932FD9"/>
    <w:rsid w:val="00937F41"/>
    <w:rsid w:val="009469AD"/>
    <w:rsid w:val="009509C3"/>
    <w:rsid w:val="00956D20"/>
    <w:rsid w:val="00961E40"/>
    <w:rsid w:val="009620C5"/>
    <w:rsid w:val="00964BBE"/>
    <w:rsid w:val="00964F1B"/>
    <w:rsid w:val="00972920"/>
    <w:rsid w:val="00975B2E"/>
    <w:rsid w:val="009765CB"/>
    <w:rsid w:val="00980950"/>
    <w:rsid w:val="00983086"/>
    <w:rsid w:val="009850AE"/>
    <w:rsid w:val="0099548A"/>
    <w:rsid w:val="009B3F92"/>
    <w:rsid w:val="009B516A"/>
    <w:rsid w:val="009B791E"/>
    <w:rsid w:val="009C03BA"/>
    <w:rsid w:val="009C1A18"/>
    <w:rsid w:val="009D323F"/>
    <w:rsid w:val="009E3D6E"/>
    <w:rsid w:val="009E5B65"/>
    <w:rsid w:val="009F17D3"/>
    <w:rsid w:val="009F340E"/>
    <w:rsid w:val="009F47AE"/>
    <w:rsid w:val="00A049A3"/>
    <w:rsid w:val="00A05A1D"/>
    <w:rsid w:val="00A07C1C"/>
    <w:rsid w:val="00A1370F"/>
    <w:rsid w:val="00A16065"/>
    <w:rsid w:val="00A1752C"/>
    <w:rsid w:val="00A23D88"/>
    <w:rsid w:val="00A27D52"/>
    <w:rsid w:val="00A3400A"/>
    <w:rsid w:val="00A340A2"/>
    <w:rsid w:val="00A35E26"/>
    <w:rsid w:val="00A40EF0"/>
    <w:rsid w:val="00A5047A"/>
    <w:rsid w:val="00A506A3"/>
    <w:rsid w:val="00A51A0E"/>
    <w:rsid w:val="00A542DF"/>
    <w:rsid w:val="00A6143B"/>
    <w:rsid w:val="00A6191F"/>
    <w:rsid w:val="00A62E6D"/>
    <w:rsid w:val="00A65353"/>
    <w:rsid w:val="00A65679"/>
    <w:rsid w:val="00A666D9"/>
    <w:rsid w:val="00A7557B"/>
    <w:rsid w:val="00A77937"/>
    <w:rsid w:val="00A82EEC"/>
    <w:rsid w:val="00A84B32"/>
    <w:rsid w:val="00A862C5"/>
    <w:rsid w:val="00A919EB"/>
    <w:rsid w:val="00AA6566"/>
    <w:rsid w:val="00AC0035"/>
    <w:rsid w:val="00AC00DB"/>
    <w:rsid w:val="00AC0E1E"/>
    <w:rsid w:val="00AC2161"/>
    <w:rsid w:val="00AD0156"/>
    <w:rsid w:val="00AD0BFD"/>
    <w:rsid w:val="00AD16F4"/>
    <w:rsid w:val="00AD1F0B"/>
    <w:rsid w:val="00AD22FE"/>
    <w:rsid w:val="00AD2762"/>
    <w:rsid w:val="00AD49A2"/>
    <w:rsid w:val="00AE1720"/>
    <w:rsid w:val="00AE4B65"/>
    <w:rsid w:val="00AE6952"/>
    <w:rsid w:val="00AE783F"/>
    <w:rsid w:val="00AF1C43"/>
    <w:rsid w:val="00AF31EB"/>
    <w:rsid w:val="00AF65BC"/>
    <w:rsid w:val="00AF6BA9"/>
    <w:rsid w:val="00B1031C"/>
    <w:rsid w:val="00B14DCA"/>
    <w:rsid w:val="00B20B0B"/>
    <w:rsid w:val="00B21F68"/>
    <w:rsid w:val="00B24ED4"/>
    <w:rsid w:val="00B25416"/>
    <w:rsid w:val="00B27CA7"/>
    <w:rsid w:val="00B30C96"/>
    <w:rsid w:val="00B3138F"/>
    <w:rsid w:val="00B323DC"/>
    <w:rsid w:val="00B4516A"/>
    <w:rsid w:val="00B452CD"/>
    <w:rsid w:val="00B53306"/>
    <w:rsid w:val="00B5487A"/>
    <w:rsid w:val="00B56856"/>
    <w:rsid w:val="00B64558"/>
    <w:rsid w:val="00B72AAA"/>
    <w:rsid w:val="00B80A14"/>
    <w:rsid w:val="00B858E1"/>
    <w:rsid w:val="00BA14C1"/>
    <w:rsid w:val="00BA1834"/>
    <w:rsid w:val="00BA562B"/>
    <w:rsid w:val="00BB252D"/>
    <w:rsid w:val="00BB3B91"/>
    <w:rsid w:val="00BB6801"/>
    <w:rsid w:val="00BC12D5"/>
    <w:rsid w:val="00BC5C43"/>
    <w:rsid w:val="00BD079C"/>
    <w:rsid w:val="00BD11E6"/>
    <w:rsid w:val="00BD120E"/>
    <w:rsid w:val="00BE7239"/>
    <w:rsid w:val="00BF15E3"/>
    <w:rsid w:val="00BF1CEA"/>
    <w:rsid w:val="00BF374F"/>
    <w:rsid w:val="00BF3952"/>
    <w:rsid w:val="00BF4716"/>
    <w:rsid w:val="00C05EEB"/>
    <w:rsid w:val="00C06AF9"/>
    <w:rsid w:val="00C217FC"/>
    <w:rsid w:val="00C31863"/>
    <w:rsid w:val="00C3246F"/>
    <w:rsid w:val="00C35D0F"/>
    <w:rsid w:val="00C368A4"/>
    <w:rsid w:val="00C4092A"/>
    <w:rsid w:val="00C41A69"/>
    <w:rsid w:val="00C4365C"/>
    <w:rsid w:val="00C44870"/>
    <w:rsid w:val="00C46521"/>
    <w:rsid w:val="00C54458"/>
    <w:rsid w:val="00C638DE"/>
    <w:rsid w:val="00C71E01"/>
    <w:rsid w:val="00C72B7A"/>
    <w:rsid w:val="00C7528E"/>
    <w:rsid w:val="00C759D1"/>
    <w:rsid w:val="00C82BFF"/>
    <w:rsid w:val="00C8445F"/>
    <w:rsid w:val="00C90601"/>
    <w:rsid w:val="00C915B8"/>
    <w:rsid w:val="00C92C7F"/>
    <w:rsid w:val="00C96E50"/>
    <w:rsid w:val="00CA0845"/>
    <w:rsid w:val="00CA16AF"/>
    <w:rsid w:val="00CA27C7"/>
    <w:rsid w:val="00CA2D81"/>
    <w:rsid w:val="00CB0BC9"/>
    <w:rsid w:val="00CB1062"/>
    <w:rsid w:val="00CC15DC"/>
    <w:rsid w:val="00CD116B"/>
    <w:rsid w:val="00CD34E4"/>
    <w:rsid w:val="00CD3E3C"/>
    <w:rsid w:val="00CD6572"/>
    <w:rsid w:val="00CD6C5E"/>
    <w:rsid w:val="00CE5D7E"/>
    <w:rsid w:val="00CE73B7"/>
    <w:rsid w:val="00CF0FE9"/>
    <w:rsid w:val="00D00EEB"/>
    <w:rsid w:val="00D051B6"/>
    <w:rsid w:val="00D11B06"/>
    <w:rsid w:val="00D1666A"/>
    <w:rsid w:val="00D172CA"/>
    <w:rsid w:val="00D272B1"/>
    <w:rsid w:val="00D303AB"/>
    <w:rsid w:val="00D32584"/>
    <w:rsid w:val="00D32BF3"/>
    <w:rsid w:val="00D341CA"/>
    <w:rsid w:val="00D35F17"/>
    <w:rsid w:val="00D41484"/>
    <w:rsid w:val="00D435FB"/>
    <w:rsid w:val="00D46FB5"/>
    <w:rsid w:val="00D500F9"/>
    <w:rsid w:val="00D57E42"/>
    <w:rsid w:val="00D61714"/>
    <w:rsid w:val="00D6255F"/>
    <w:rsid w:val="00D724D2"/>
    <w:rsid w:val="00D73F68"/>
    <w:rsid w:val="00D812C3"/>
    <w:rsid w:val="00D816A8"/>
    <w:rsid w:val="00D90A5A"/>
    <w:rsid w:val="00D90CD5"/>
    <w:rsid w:val="00D97C4A"/>
    <w:rsid w:val="00DA47CD"/>
    <w:rsid w:val="00DB446F"/>
    <w:rsid w:val="00DB7EF1"/>
    <w:rsid w:val="00DC798E"/>
    <w:rsid w:val="00DD1FCA"/>
    <w:rsid w:val="00DD5242"/>
    <w:rsid w:val="00DD5A42"/>
    <w:rsid w:val="00DD7055"/>
    <w:rsid w:val="00DF44B1"/>
    <w:rsid w:val="00DF5844"/>
    <w:rsid w:val="00DF7111"/>
    <w:rsid w:val="00E01D5F"/>
    <w:rsid w:val="00E034BF"/>
    <w:rsid w:val="00E125D1"/>
    <w:rsid w:val="00E157D7"/>
    <w:rsid w:val="00E20E4D"/>
    <w:rsid w:val="00E21E00"/>
    <w:rsid w:val="00E25276"/>
    <w:rsid w:val="00E264B9"/>
    <w:rsid w:val="00E311F6"/>
    <w:rsid w:val="00E44B02"/>
    <w:rsid w:val="00E450DB"/>
    <w:rsid w:val="00E52266"/>
    <w:rsid w:val="00E56246"/>
    <w:rsid w:val="00E57176"/>
    <w:rsid w:val="00E57D3C"/>
    <w:rsid w:val="00E6122D"/>
    <w:rsid w:val="00E713F8"/>
    <w:rsid w:val="00E73CF6"/>
    <w:rsid w:val="00E766F4"/>
    <w:rsid w:val="00E84765"/>
    <w:rsid w:val="00E8529A"/>
    <w:rsid w:val="00E86CB8"/>
    <w:rsid w:val="00E87787"/>
    <w:rsid w:val="00E94DB3"/>
    <w:rsid w:val="00E97CE9"/>
    <w:rsid w:val="00EA7945"/>
    <w:rsid w:val="00EB39CF"/>
    <w:rsid w:val="00EB7D55"/>
    <w:rsid w:val="00EE49B5"/>
    <w:rsid w:val="00EE5753"/>
    <w:rsid w:val="00EF320B"/>
    <w:rsid w:val="00F01A8D"/>
    <w:rsid w:val="00F032A4"/>
    <w:rsid w:val="00F040B2"/>
    <w:rsid w:val="00F10E34"/>
    <w:rsid w:val="00F14679"/>
    <w:rsid w:val="00F345A6"/>
    <w:rsid w:val="00F348C2"/>
    <w:rsid w:val="00F34EB5"/>
    <w:rsid w:val="00F371BF"/>
    <w:rsid w:val="00F37840"/>
    <w:rsid w:val="00F44442"/>
    <w:rsid w:val="00F473A3"/>
    <w:rsid w:val="00F47ECA"/>
    <w:rsid w:val="00F63AED"/>
    <w:rsid w:val="00F645FB"/>
    <w:rsid w:val="00F6497C"/>
    <w:rsid w:val="00F65E92"/>
    <w:rsid w:val="00F662BC"/>
    <w:rsid w:val="00F66ECD"/>
    <w:rsid w:val="00F73189"/>
    <w:rsid w:val="00F830CD"/>
    <w:rsid w:val="00F87CDB"/>
    <w:rsid w:val="00F91D5C"/>
    <w:rsid w:val="00F936A4"/>
    <w:rsid w:val="00F94970"/>
    <w:rsid w:val="00F972B5"/>
    <w:rsid w:val="00FA406D"/>
    <w:rsid w:val="00FA4156"/>
    <w:rsid w:val="00FA4F02"/>
    <w:rsid w:val="00FB05C9"/>
    <w:rsid w:val="00FB102D"/>
    <w:rsid w:val="00FB2657"/>
    <w:rsid w:val="00FB3FA5"/>
    <w:rsid w:val="00FB46F3"/>
    <w:rsid w:val="00FB5599"/>
    <w:rsid w:val="00FC1E17"/>
    <w:rsid w:val="00FC4EEF"/>
    <w:rsid w:val="00FD2E8C"/>
    <w:rsid w:val="00FD4240"/>
    <w:rsid w:val="00FD55F5"/>
    <w:rsid w:val="00FD5B40"/>
    <w:rsid w:val="00FD6881"/>
    <w:rsid w:val="00FD7698"/>
    <w:rsid w:val="00FE4D84"/>
    <w:rsid w:val="00FE5195"/>
    <w:rsid w:val="00FF47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52D"/>
    <w:pPr>
      <w:spacing w:after="200" w:line="276" w:lineRule="auto"/>
    </w:pPr>
    <w:rPr>
      <w:sz w:val="22"/>
      <w:szCs w:val="22"/>
      <w:lang w:eastAsia="en-US"/>
    </w:rPr>
  </w:style>
  <w:style w:type="paragraph" w:styleId="Cmsor9">
    <w:name w:val="heading 9"/>
    <w:basedOn w:val="Norml"/>
    <w:next w:val="Norml"/>
    <w:qFormat/>
    <w:rsid w:val="00FB102D"/>
    <w:pPr>
      <w:spacing w:before="240" w:after="60"/>
      <w:outlineLvl w:val="8"/>
    </w:pPr>
    <w:rPr>
      <w:rFonts w:ascii="Arial" w:hAnsi="Arial" w:cs="Arial"/>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D58F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58FD"/>
  </w:style>
  <w:style w:type="paragraph" w:styleId="llb">
    <w:name w:val="footer"/>
    <w:basedOn w:val="Norml"/>
    <w:link w:val="llbChar"/>
    <w:uiPriority w:val="99"/>
    <w:unhideWhenUsed/>
    <w:rsid w:val="007D58FD"/>
    <w:pPr>
      <w:tabs>
        <w:tab w:val="center" w:pos="4536"/>
        <w:tab w:val="right" w:pos="9072"/>
      </w:tabs>
      <w:spacing w:after="0" w:line="240" w:lineRule="auto"/>
    </w:pPr>
  </w:style>
  <w:style w:type="character" w:customStyle="1" w:styleId="llbChar">
    <w:name w:val="Élőláb Char"/>
    <w:basedOn w:val="Bekezdsalapbettpusa"/>
    <w:link w:val="llb"/>
    <w:uiPriority w:val="99"/>
    <w:rsid w:val="007D58FD"/>
  </w:style>
  <w:style w:type="table" w:styleId="Rcsostblzat">
    <w:name w:val="Table Grid"/>
    <w:basedOn w:val="Normltblzat"/>
    <w:uiPriority w:val="59"/>
    <w:rsid w:val="007D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618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187B"/>
    <w:rPr>
      <w:rFonts w:ascii="Tahoma" w:hAnsi="Tahoma" w:cs="Tahoma"/>
      <w:sz w:val="16"/>
      <w:szCs w:val="16"/>
    </w:rPr>
  </w:style>
  <w:style w:type="character" w:styleId="Hiperhivatkozs">
    <w:name w:val="Hyperlink"/>
    <w:basedOn w:val="Bekezdsalapbettpusa"/>
    <w:uiPriority w:val="99"/>
    <w:unhideWhenUsed/>
    <w:rsid w:val="00281277"/>
    <w:rPr>
      <w:color w:val="0000FF"/>
      <w:u w:val="single"/>
    </w:rPr>
  </w:style>
  <w:style w:type="paragraph" w:customStyle="1" w:styleId="llb0">
    <w:name w:val="élőláb"/>
    <w:basedOn w:val="llb"/>
    <w:rsid w:val="001D2C47"/>
    <w:rPr>
      <w:rFonts w:ascii="Arial" w:hAnsi="Arial" w:cs="Arial"/>
      <w:spacing w:val="16"/>
      <w:sz w:val="16"/>
      <w:szCs w:val="16"/>
    </w:rPr>
  </w:style>
  <w:style w:type="character" w:styleId="Oldalszm">
    <w:name w:val="page number"/>
    <w:basedOn w:val="Bekezdsalapbettpusa"/>
    <w:rsid w:val="001D2C47"/>
  </w:style>
  <w:style w:type="paragraph" w:customStyle="1" w:styleId="cmzett">
    <w:name w:val="címzett"/>
    <w:basedOn w:val="Norml"/>
    <w:rsid w:val="00FB102D"/>
    <w:pPr>
      <w:ind w:left="1985"/>
    </w:pPr>
    <w:rPr>
      <w:rFonts w:ascii="Arial" w:hAnsi="Arial" w:cs="Arial"/>
      <w:b/>
    </w:rPr>
  </w:style>
  <w:style w:type="character" w:customStyle="1" w:styleId="fejlctitulusChar">
    <w:name w:val="fejléc titulus Char"/>
    <w:basedOn w:val="Bekezdsalapbettpusa"/>
    <w:link w:val="fejlctitulus"/>
    <w:rsid w:val="00AA6566"/>
    <w:rPr>
      <w:rFonts w:ascii="ArialMT" w:hAnsi="ArialMT" w:cs="ArialMT"/>
      <w:lang w:val="hu-HU" w:eastAsia="hu-HU" w:bidi="ar-SA"/>
    </w:rPr>
  </w:style>
  <w:style w:type="paragraph" w:customStyle="1" w:styleId="adatok">
    <w:name w:val="adatok"/>
    <w:basedOn w:val="Norml"/>
    <w:link w:val="adatokChar"/>
    <w:autoRedefine/>
    <w:rsid w:val="00746AD6"/>
    <w:pPr>
      <w:autoSpaceDE w:val="0"/>
      <w:autoSpaceDN w:val="0"/>
      <w:adjustRightInd w:val="0"/>
    </w:pPr>
    <w:rPr>
      <w:rFonts w:ascii="Arial" w:eastAsia="Times New Roman" w:hAnsi="Arial" w:cs="ArialMT"/>
      <w:sz w:val="20"/>
      <w:szCs w:val="20"/>
      <w:lang w:eastAsia="hu-HU"/>
    </w:rPr>
  </w:style>
  <w:style w:type="character" w:customStyle="1" w:styleId="adatokChar">
    <w:name w:val="adatok Char"/>
    <w:basedOn w:val="Bekezdsalapbettpusa"/>
    <w:link w:val="adatok"/>
    <w:rsid w:val="00746AD6"/>
    <w:rPr>
      <w:rFonts w:ascii="Arial" w:eastAsia="Times New Roman" w:hAnsi="Arial" w:cs="ArialMT"/>
    </w:rPr>
  </w:style>
  <w:style w:type="paragraph" w:customStyle="1" w:styleId="adatokmegnevezse">
    <w:name w:val="adatok megnevezése"/>
    <w:basedOn w:val="Norml"/>
    <w:autoRedefine/>
    <w:rsid w:val="00AA6566"/>
    <w:pPr>
      <w:framePr w:wrap="around" w:vAnchor="text" w:hAnchor="text" w:y="1"/>
      <w:tabs>
        <w:tab w:val="left" w:pos="990"/>
      </w:tabs>
      <w:ind w:left="110"/>
    </w:pPr>
    <w:rPr>
      <w:rFonts w:ascii="Arial" w:hAnsi="Arial" w:cs="Arial"/>
      <w:sz w:val="16"/>
      <w:szCs w:val="16"/>
    </w:rPr>
  </w:style>
  <w:style w:type="paragraph" w:customStyle="1" w:styleId="fejlccmzett">
    <w:name w:val="fejléc címzett"/>
    <w:basedOn w:val="Norml"/>
    <w:link w:val="fejlccmzettChar"/>
    <w:autoRedefine/>
    <w:rsid w:val="00415F17"/>
    <w:pPr>
      <w:framePr w:wrap="around" w:vAnchor="text" w:hAnchor="text" w:y="1"/>
    </w:pPr>
    <w:rPr>
      <w:rFonts w:ascii="Arial" w:hAnsi="Arial" w:cs="Arial"/>
      <w:b/>
      <w:sz w:val="20"/>
      <w:szCs w:val="20"/>
    </w:rPr>
  </w:style>
  <w:style w:type="paragraph" w:customStyle="1" w:styleId="fejlctitulus">
    <w:name w:val="fejléc titulus"/>
    <w:basedOn w:val="Norml"/>
    <w:link w:val="fejlctitulusChar"/>
    <w:rsid w:val="00AA6566"/>
    <w:pPr>
      <w:autoSpaceDE w:val="0"/>
      <w:autoSpaceDN w:val="0"/>
      <w:adjustRightInd w:val="0"/>
    </w:pPr>
    <w:rPr>
      <w:rFonts w:ascii="ArialMT" w:eastAsia="Times New Roman" w:hAnsi="ArialMT" w:cs="ArialMT"/>
      <w:sz w:val="20"/>
      <w:szCs w:val="20"/>
      <w:lang w:eastAsia="hu-HU"/>
    </w:rPr>
  </w:style>
  <w:style w:type="paragraph" w:customStyle="1" w:styleId="fejlchivatal">
    <w:name w:val="fejléc hivatal"/>
    <w:basedOn w:val="Norml"/>
    <w:autoRedefine/>
    <w:rsid w:val="000208F8"/>
    <w:pPr>
      <w:framePr w:wrap="around" w:vAnchor="text" w:hAnchor="text" w:y="1"/>
      <w:spacing w:after="0" w:line="240" w:lineRule="auto"/>
      <w:ind w:left="110"/>
    </w:pPr>
    <w:rPr>
      <w:rFonts w:ascii="Arial" w:hAnsi="Arial" w:cs="Arial"/>
      <w:spacing w:val="10"/>
      <w:position w:val="-4"/>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paragraph" w:customStyle="1" w:styleId="BPiktatcm">
    <w:name w:val="BP_iktató_cím"/>
    <w:basedOn w:val="Norml"/>
    <w:link w:val="BPiktatcmChar"/>
    <w:qFormat/>
    <w:rsid w:val="00CA2D81"/>
    <w:pPr>
      <w:spacing w:before="40" w:after="60" w:line="240" w:lineRule="auto"/>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character" w:customStyle="1" w:styleId="BPiktatcmChar">
    <w:name w:val="BP_iktató_cím Char"/>
    <w:basedOn w:val="Bekezdsalapbettpusa"/>
    <w:link w:val="BPiktatcm"/>
    <w:rsid w:val="00CA2D81"/>
    <w:rPr>
      <w:rFonts w:ascii="Arial" w:hAnsi="Arial" w:cs="Arial"/>
      <w:sz w:val="16"/>
      <w:szCs w:val="16"/>
      <w:lang w:eastAsia="en-US"/>
    </w:rPr>
  </w:style>
  <w:style w:type="character" w:customStyle="1" w:styleId="IktatadatChar">
    <w:name w:val="Iktató adat Char"/>
    <w:basedOn w:val="BPiktatcmChar"/>
    <w:link w:val="Iktatadat"/>
    <w:rsid w:val="00A666D9"/>
  </w:style>
  <w:style w:type="paragraph" w:customStyle="1" w:styleId="BPhivatal">
    <w:name w:val="BP_hivatal"/>
    <w:basedOn w:val="Norml"/>
    <w:qFormat/>
    <w:rsid w:val="00BE7239"/>
    <w:pPr>
      <w:spacing w:after="0" w:line="240" w:lineRule="exact"/>
    </w:pPr>
    <w:rPr>
      <w:rFonts w:ascii="Arial Narrow" w:hAnsi="Arial Narrow" w:cs="Arial"/>
      <w:spacing w:val="10"/>
      <w:sz w:val="19"/>
    </w:rPr>
  </w:style>
  <w:style w:type="paragraph" w:customStyle="1" w:styleId="BPcmzett">
    <w:name w:val="BP_címzett"/>
    <w:basedOn w:val="fejlccmzett"/>
    <w:link w:val="BPcmzettChar"/>
    <w:qFormat/>
    <w:rsid w:val="00CA0845"/>
    <w:pPr>
      <w:framePr w:wrap="auto" w:vAnchor="margin" w:yAlign="inline"/>
      <w:spacing w:after="0" w:line="240" w:lineRule="auto"/>
    </w:pPr>
    <w:rPr>
      <w:sz w:val="22"/>
    </w:rPr>
  </w:style>
  <w:style w:type="paragraph" w:customStyle="1" w:styleId="BPcmzs">
    <w:name w:val="BP_címzés"/>
    <w:basedOn w:val="fejlctitulus"/>
    <w:link w:val="BPcmzsChar"/>
    <w:qFormat/>
    <w:rsid w:val="007905FC"/>
    <w:pPr>
      <w:spacing w:after="50" w:line="240" w:lineRule="auto"/>
    </w:pPr>
    <w:rPr>
      <w:rFonts w:ascii="Arial" w:hAnsi="Arial" w:cs="Arial"/>
      <w:sz w:val="22"/>
    </w:rPr>
  </w:style>
  <w:style w:type="paragraph" w:customStyle="1" w:styleId="BPmegszlts">
    <w:name w:val="BP_megszólítás"/>
    <w:basedOn w:val="Norml"/>
    <w:qFormat/>
    <w:rsid w:val="00F37840"/>
    <w:pPr>
      <w:spacing w:before="440" w:after="320"/>
    </w:pPr>
    <w:rPr>
      <w:rFonts w:ascii="Arial" w:hAnsi="Arial" w:cs="Arial"/>
      <w:b/>
      <w:noProof/>
      <w:lang w:eastAsia="hu-HU"/>
    </w:rPr>
  </w:style>
  <w:style w:type="paragraph" w:customStyle="1" w:styleId="BPszvegtest">
    <w:name w:val="BP_szövegtest"/>
    <w:basedOn w:val="Norml"/>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CA2D81"/>
    <w:pPr>
      <w:spacing w:after="60" w:line="240" w:lineRule="auto"/>
    </w:pPr>
    <w:rPr>
      <w:rFonts w:ascii="Arial" w:hAnsi="Arial" w:cs="Arial"/>
      <w:noProof/>
      <w:sz w:val="16"/>
      <w:lang w:eastAsia="hu-HU"/>
    </w:rPr>
  </w:style>
  <w:style w:type="paragraph" w:styleId="Listaszerbekezds">
    <w:name w:val="List Paragraph"/>
    <w:basedOn w:val="Norml"/>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position w:val="-6"/>
      <w:sz w:val="16"/>
      <w:szCs w:val="16"/>
    </w:rPr>
  </w:style>
  <w:style w:type="paragraph" w:customStyle="1" w:styleId="BPmellkletek">
    <w:name w:val="BP_mellékletek"/>
    <w:basedOn w:val="Listaszerbekezds"/>
    <w:qFormat/>
    <w:rsid w:val="00FB3FA5"/>
    <w:pPr>
      <w:numPr>
        <w:numId w:val="14"/>
      </w:numPr>
      <w:autoSpaceDE w:val="0"/>
      <w:autoSpaceDN w:val="0"/>
      <w:adjustRightInd w:val="0"/>
      <w:spacing w:after="0" w:line="240" w:lineRule="auto"/>
      <w:ind w:left="-964"/>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E57D3C"/>
    <w:pPr>
      <w:spacing w:line="288" w:lineRule="auto"/>
      <w:ind w:left="-1191"/>
    </w:pPr>
    <w:rPr>
      <w:rFonts w:ascii="Arial Narrow" w:hAnsi="Arial Narrow" w:cs="Arial"/>
      <w:noProof/>
      <w:spacing w:val="20"/>
      <w:sz w:val="16"/>
      <w:szCs w:val="16"/>
      <w:lang w:eastAsia="hu-HU"/>
    </w:rPr>
  </w:style>
  <w:style w:type="paragraph" w:customStyle="1" w:styleId="BPiktatadat">
    <w:name w:val="BP_iktató_adat"/>
    <w:basedOn w:val="Norml"/>
    <w:link w:val="BPiktatadatChar"/>
    <w:autoRedefine/>
    <w:qFormat/>
    <w:rsid w:val="00CA2D81"/>
    <w:pPr>
      <w:tabs>
        <w:tab w:val="center" w:pos="1361"/>
      </w:tabs>
      <w:spacing w:before="40" w:after="60" w:line="240" w:lineRule="auto"/>
    </w:pPr>
    <w:rPr>
      <w:rFonts w:ascii="Arial" w:hAnsi="Arial"/>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F37840"/>
    <w:pPr>
      <w:spacing w:before="40"/>
    </w:pPr>
    <w:rPr>
      <w:rFonts w:ascii="Arial Narrow" w:hAnsi="Arial Narrow"/>
      <w:i/>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F37840"/>
    <w:rPr>
      <w:rFonts w:ascii="Arial Narrow" w:hAnsi="Arial Narrow"/>
      <w:i/>
      <w:iCs/>
    </w:rPr>
  </w:style>
  <w:style w:type="character" w:customStyle="1" w:styleId="BPllbChar">
    <w:name w:val="BP_élőláb Char"/>
    <w:basedOn w:val="llbChar"/>
    <w:link w:val="BPllb"/>
    <w:rsid w:val="001F63F5"/>
    <w:rPr>
      <w:rFonts w:ascii="Arial Narrow" w:hAnsi="Arial Narrow" w:cs="Arial"/>
      <w:noProof/>
      <w:spacing w:val="20"/>
      <w:sz w:val="16"/>
      <w:szCs w:val="16"/>
    </w:rPr>
  </w:style>
  <w:style w:type="character" w:customStyle="1" w:styleId="BPiktatadatChar">
    <w:name w:val="BP_iktató_adat Char"/>
    <w:basedOn w:val="BPiktatcmChar"/>
    <w:link w:val="BPiktatadat"/>
    <w:rsid w:val="00CA2D81"/>
  </w:style>
  <w:style w:type="character" w:customStyle="1" w:styleId="BPcmzsChar">
    <w:name w:val="BP_címzés Char"/>
    <w:basedOn w:val="fejlctitulusChar"/>
    <w:link w:val="BPcmzs"/>
    <w:rsid w:val="007905FC"/>
    <w:rPr>
      <w:rFonts w:ascii="Arial" w:eastAsia="Times New Roman" w:hAnsi="Arial" w:cs="Arial"/>
      <w:sz w:val="22"/>
    </w:rPr>
  </w:style>
  <w:style w:type="character" w:customStyle="1" w:styleId="fejlccmzettChar">
    <w:name w:val="fejléc címzett Char"/>
    <w:basedOn w:val="Bekezdsalapbettpusa"/>
    <w:link w:val="fejlccmzett"/>
    <w:rsid w:val="001F63F5"/>
    <w:rPr>
      <w:rFonts w:ascii="Arial" w:hAnsi="Arial" w:cs="Arial"/>
      <w:b/>
      <w:lang w:eastAsia="en-US"/>
    </w:rPr>
  </w:style>
  <w:style w:type="character" w:customStyle="1" w:styleId="BPcmzettChar">
    <w:name w:val="BP_címzett Char"/>
    <w:basedOn w:val="fejlccmzettChar"/>
    <w:link w:val="BPcmzett"/>
    <w:rsid w:val="00CA0845"/>
    <w:rPr>
      <w:b/>
      <w:sz w:val="22"/>
    </w:rPr>
  </w:style>
  <w:style w:type="character" w:customStyle="1" w:styleId="BPbarcodeChar">
    <w:name w:val="BP_barcode Char"/>
    <w:basedOn w:val="Bekezdsalapbettpusa"/>
    <w:link w:val="BPbarcode"/>
    <w:rsid w:val="00CA2D81"/>
    <w:rPr>
      <w:rFonts w:ascii="Arial" w:hAnsi="Arial" w:cs="Arial"/>
      <w:noProof/>
      <w:sz w:val="16"/>
      <w:szCs w:val="22"/>
    </w:rPr>
  </w:style>
  <w:style w:type="paragraph" w:styleId="NormlWeb">
    <w:name w:val="Normal (Web)"/>
    <w:basedOn w:val="Norml"/>
    <w:uiPriority w:val="99"/>
    <w:semiHidden/>
    <w:unhideWhenUsed/>
    <w:rsid w:val="00C759D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932662">
      <w:bodyDiv w:val="1"/>
      <w:marLeft w:val="0"/>
      <w:marRight w:val="0"/>
      <w:marTop w:val="0"/>
      <w:marBottom w:val="0"/>
      <w:divBdr>
        <w:top w:val="none" w:sz="0" w:space="0" w:color="auto"/>
        <w:left w:val="none" w:sz="0" w:space="0" w:color="auto"/>
        <w:bottom w:val="none" w:sz="0" w:space="0" w:color="auto"/>
        <w:right w:val="none" w:sz="0" w:space="0" w:color="auto"/>
      </w:divBdr>
    </w:div>
    <w:div w:id="137386615">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
    <w:div w:id="1603803783">
      <w:bodyDiv w:val="1"/>
      <w:marLeft w:val="0"/>
      <w:marRight w:val="0"/>
      <w:marTop w:val="0"/>
      <w:marBottom w:val="0"/>
      <w:divBdr>
        <w:top w:val="none" w:sz="0" w:space="0" w:color="auto"/>
        <w:left w:val="none" w:sz="0" w:space="0" w:color="auto"/>
        <w:bottom w:val="none" w:sz="0" w:space="0" w:color="auto"/>
        <w:right w:val="none" w:sz="0" w:space="0" w:color="auto"/>
      </w:divBdr>
    </w:div>
    <w:div w:id="1968966787">
      <w:bodyDiv w:val="1"/>
      <w:marLeft w:val="0"/>
      <w:marRight w:val="0"/>
      <w:marTop w:val="0"/>
      <w:marBottom w:val="0"/>
      <w:divBdr>
        <w:top w:val="none" w:sz="0" w:space="0" w:color="auto"/>
        <w:left w:val="none" w:sz="0" w:space="0" w:color="auto"/>
        <w:bottom w:val="none" w:sz="0" w:space="0" w:color="auto"/>
        <w:right w:val="none" w:sz="0" w:space="0" w:color="auto"/>
      </w:divBdr>
    </w:div>
    <w:div w:id="2000303554">
      <w:bodyDiv w:val="1"/>
      <w:marLeft w:val="0"/>
      <w:marRight w:val="0"/>
      <w:marTop w:val="0"/>
      <w:marBottom w:val="0"/>
      <w:divBdr>
        <w:top w:val="none" w:sz="0" w:space="0" w:color="auto"/>
        <w:left w:val="none" w:sz="0" w:space="0" w:color="auto"/>
        <w:bottom w:val="none" w:sz="0" w:space="0" w:color="auto"/>
        <w:right w:val="none" w:sz="0" w:space="0" w:color="auto"/>
      </w:divBdr>
    </w:div>
    <w:div w:id="2005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gerofi2@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76a69f7-d516-4c54-bf0e-1c55319ec8b0"/>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7E38A-7A57-449D-A1AD-9F037FEE5992}"/>
</file>

<file path=customXml/itemProps2.xml><?xml version="1.0" encoding="utf-8"?>
<ds:datastoreItem xmlns:ds="http://schemas.openxmlformats.org/officeDocument/2006/customXml" ds:itemID="{1DB83248-4CC1-48DC-B7E1-E351D71FF576}"/>
</file>

<file path=customXml/itemProps3.xml><?xml version="1.0" encoding="utf-8"?>
<ds:datastoreItem xmlns:ds="http://schemas.openxmlformats.org/officeDocument/2006/customXml" ds:itemID="{0D7B5F24-10D7-4D3A-81B2-6CFB7E7CFB49}"/>
</file>

<file path=customXml/itemProps4.xml><?xml version="1.0" encoding="utf-8"?>
<ds:datastoreItem xmlns:ds="http://schemas.openxmlformats.org/officeDocument/2006/customXml" ds:itemID="{58DD47C3-CC81-4BC6-A1CC-E95B38173FCA}"/>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14228</Characters>
  <Application>Microsoft Office Word</Application>
  <DocSecurity>0</DocSecurity>
  <Lines>118</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eWord alapsablon</vt:lpstr>
      <vt:lpstr/>
    </vt:vector>
  </TitlesOfParts>
  <Company>Főpolgármesteri Hivatal</Company>
  <LinksUpToDate>false</LinksUpToDate>
  <CharactersWithSpaces>16258</CharactersWithSpaces>
  <SharedDoc>false</SharedDoc>
  <HLinks>
    <vt:vector size="6" baseType="variant">
      <vt:variant>
        <vt:i4>8323099</vt:i4>
      </vt:variant>
      <vt:variant>
        <vt:i4>6</vt:i4>
      </vt:variant>
      <vt:variant>
        <vt:i4>0</vt:i4>
      </vt:variant>
      <vt:variant>
        <vt:i4>5</vt:i4>
      </vt:variant>
      <vt:variant>
        <vt:lpwstr>mailto:gerofi2@freemail.hu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eWord alapsablon</dc:title>
  <dc:creator>sip</dc:creator>
  <cp:lastModifiedBy>schmidtg</cp:lastModifiedBy>
  <cp:revision>3</cp:revision>
  <cp:lastPrinted>2012-12-19T13:35:00Z</cp:lastPrinted>
  <dcterms:created xsi:type="dcterms:W3CDTF">2012-12-20T08:30:00Z</dcterms:created>
  <dcterms:modified xsi:type="dcterms:W3CDTF">2012-12-20T08:30:00Z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