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91" w:rsidRPr="00A0139D" w:rsidRDefault="002D5F91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A0139D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A0139D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A0139D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7524F6" w:rsidRPr="00A0139D" w:rsidRDefault="007524F6" w:rsidP="00B8723B">
      <w:pPr>
        <w:pStyle w:val="Nincstrkz"/>
        <w:ind w:left="4956"/>
        <w:jc w:val="left"/>
        <w:rPr>
          <w:rFonts w:cs="Times New Roman"/>
          <w:b/>
        </w:rPr>
      </w:pPr>
    </w:p>
    <w:p w:rsidR="001C7080" w:rsidRPr="00A0139D" w:rsidRDefault="001C7080" w:rsidP="001C7080">
      <w:pPr>
        <w:tabs>
          <w:tab w:val="left" w:pos="222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sz w:val="72"/>
          <w:szCs w:val="72"/>
          <w:lang w:val="en-US"/>
        </w:rPr>
      </w:pPr>
      <w:r w:rsidRPr="00A0139D">
        <w:rPr>
          <w:rFonts w:asciiTheme="minorHAnsi" w:hAnsiTheme="minorHAnsi" w:cs="Calibri"/>
          <w:b/>
          <w:bCs/>
          <w:sz w:val="72"/>
          <w:szCs w:val="72"/>
          <w:lang w:val="en-US"/>
        </w:rPr>
        <w:tab/>
      </w:r>
    </w:p>
    <w:p w:rsidR="001C7080" w:rsidRPr="00A0139D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72"/>
          <w:szCs w:val="72"/>
          <w:lang w:val="en-US"/>
        </w:rPr>
      </w:pPr>
      <w:r w:rsidRPr="00A0139D">
        <w:rPr>
          <w:rFonts w:asciiTheme="minorHAnsi" w:hAnsiTheme="minorHAnsi" w:cs="Calibri"/>
          <w:b/>
          <w:bCs/>
          <w:sz w:val="72"/>
          <w:szCs w:val="72"/>
          <w:lang w:val="en-US"/>
        </w:rPr>
        <w:t xml:space="preserve">JELENTÉS </w:t>
      </w:r>
    </w:p>
    <w:p w:rsidR="001C7080" w:rsidRPr="00A0139D" w:rsidRDefault="001C7080" w:rsidP="001C7080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40"/>
          <w:szCs w:val="40"/>
          <w:lang w:val="en-US"/>
        </w:rPr>
      </w:pPr>
      <w:proofErr w:type="gramStart"/>
      <w:r w:rsidRPr="00A0139D">
        <w:rPr>
          <w:rFonts w:asciiTheme="minorHAnsi" w:hAnsiTheme="minorHAnsi" w:cs="Calibri"/>
          <w:b/>
          <w:bCs/>
          <w:sz w:val="40"/>
          <w:szCs w:val="40"/>
        </w:rPr>
        <w:t>az</w:t>
      </w:r>
      <w:proofErr w:type="gramEnd"/>
      <w:r w:rsidRPr="00A0139D">
        <w:rPr>
          <w:rFonts w:asciiTheme="minorHAnsi" w:hAnsiTheme="minorHAnsi" w:cs="Calibri"/>
          <w:b/>
          <w:bCs/>
          <w:sz w:val="40"/>
          <w:szCs w:val="40"/>
        </w:rPr>
        <w:t xml:space="preserve"> Alstom metrókocsi</w:t>
      </w:r>
      <w:r w:rsidR="00AC56D4" w:rsidRPr="00A0139D">
        <w:rPr>
          <w:rFonts w:asciiTheme="minorHAnsi" w:hAnsiTheme="minorHAnsi" w:cs="Calibri"/>
          <w:b/>
          <w:bCs/>
          <w:sz w:val="40"/>
          <w:szCs w:val="40"/>
        </w:rPr>
        <w:t>k</w:t>
      </w:r>
      <w:r w:rsidRPr="00A0139D">
        <w:rPr>
          <w:rFonts w:asciiTheme="minorHAnsi" w:hAnsiTheme="minorHAnsi" w:cs="Calibri"/>
          <w:b/>
          <w:bCs/>
          <w:sz w:val="40"/>
          <w:szCs w:val="40"/>
        </w:rPr>
        <w:t xml:space="preserve"> beszerzés</w:t>
      </w:r>
      <w:r w:rsidR="00AC56D4" w:rsidRPr="00A0139D">
        <w:rPr>
          <w:rFonts w:asciiTheme="minorHAnsi" w:hAnsiTheme="minorHAnsi" w:cs="Calibri"/>
          <w:b/>
          <w:bCs/>
          <w:sz w:val="40"/>
          <w:szCs w:val="40"/>
        </w:rPr>
        <w:t>én</w:t>
      </w:r>
      <w:r w:rsidRPr="00A0139D">
        <w:rPr>
          <w:rFonts w:asciiTheme="minorHAnsi" w:hAnsiTheme="minorHAnsi" w:cs="Calibri"/>
          <w:b/>
          <w:bCs/>
          <w:sz w:val="40"/>
          <w:szCs w:val="40"/>
        </w:rPr>
        <w:t>ek vizsgálatáról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A0139D" w:rsidRPr="00A0139D" w:rsidRDefault="00A0139D" w:rsidP="00A0139D">
      <w:pPr>
        <w:pStyle w:val="Tartalomjegyzkcmsora"/>
        <w:rPr>
          <w:rFonts w:asciiTheme="minorHAnsi" w:hAnsiTheme="minorHAnsi" w:cs="Calibri"/>
          <w:b/>
          <w:bCs/>
          <w:i/>
          <w:iCs/>
          <w:lang w:val="en-US"/>
        </w:rPr>
      </w:pPr>
    </w:p>
    <w:sdt>
      <w:sdtPr>
        <w:rPr>
          <w:rFonts w:asciiTheme="minorHAnsi" w:eastAsia="Calibri" w:hAnsiTheme="minorHAnsi" w:cs="Times New Roman"/>
          <w:color w:val="auto"/>
          <w:sz w:val="36"/>
          <w:szCs w:val="22"/>
          <w:lang w:eastAsia="en-US"/>
        </w:rPr>
        <w:id w:val="-1229907734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0139D" w:rsidRPr="00FC4C9F" w:rsidRDefault="00A0139D" w:rsidP="00A0139D">
          <w:pPr>
            <w:pStyle w:val="Tartalomjegyzkcmsora"/>
            <w:rPr>
              <w:rFonts w:asciiTheme="minorHAnsi" w:hAnsiTheme="minorHAnsi"/>
              <w:color w:val="auto"/>
              <w:sz w:val="40"/>
              <w:szCs w:val="28"/>
            </w:rPr>
          </w:pPr>
          <w:r w:rsidRPr="00FC4C9F">
            <w:rPr>
              <w:rFonts w:asciiTheme="minorHAnsi" w:hAnsiTheme="minorHAnsi"/>
              <w:color w:val="auto"/>
              <w:sz w:val="40"/>
              <w:szCs w:val="28"/>
            </w:rPr>
            <w:t>Tartalom</w:t>
          </w:r>
        </w:p>
        <w:p w:rsidR="00FC4C9F" w:rsidRPr="00FC4C9F" w:rsidRDefault="00A0139D">
          <w:pPr>
            <w:pStyle w:val="TJ1"/>
            <w:tabs>
              <w:tab w:val="left" w:pos="44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r w:rsidRPr="00FC4C9F">
            <w:rPr>
              <w:rFonts w:asciiTheme="minorHAnsi" w:hAnsiTheme="minorHAnsi"/>
              <w:sz w:val="36"/>
              <w:szCs w:val="28"/>
            </w:rPr>
            <w:fldChar w:fldCharType="begin"/>
          </w:r>
          <w:r w:rsidRPr="00FC4C9F">
            <w:rPr>
              <w:rFonts w:asciiTheme="minorHAnsi" w:hAnsiTheme="minorHAnsi"/>
              <w:sz w:val="36"/>
              <w:szCs w:val="28"/>
            </w:rPr>
            <w:instrText xml:space="preserve"> TOC \o "1-3" \h \z \u </w:instrText>
          </w:r>
          <w:r w:rsidRPr="00FC4C9F">
            <w:rPr>
              <w:rFonts w:asciiTheme="minorHAnsi" w:hAnsiTheme="minorHAnsi"/>
              <w:sz w:val="36"/>
              <w:szCs w:val="28"/>
            </w:rPr>
            <w:fldChar w:fldCharType="separate"/>
          </w:r>
          <w:hyperlink w:anchor="_Toc468709030" w:history="1">
            <w:r w:rsidR="00FC4C9F" w:rsidRPr="00FC4C9F">
              <w:rPr>
                <w:rStyle w:val="Hiperhivatkozs"/>
                <w:noProof/>
                <w:sz w:val="28"/>
              </w:rPr>
              <w:t>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EL</w:t>
            </w:r>
            <w:r w:rsidR="00FC4C9F" w:rsidRPr="00FC4C9F">
              <w:rPr>
                <w:rStyle w:val="Hiperhivatkozs"/>
                <w:noProof/>
                <w:sz w:val="28"/>
              </w:rPr>
              <w:t>ŐZMÉNYEK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_Toc468709030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3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44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1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II.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BIZOTTSÁGI MUNKA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_Toc468709031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2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III.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M2 - M4 METRÓSZERELVÉNYEK BESZERZÉSE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_Toc468709032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3" w:history="1">
            <w:r w:rsidR="00FC4C9F" w:rsidRPr="00FC4C9F">
              <w:rPr>
                <w:rStyle w:val="Hiperhivatkozs"/>
                <w:noProof/>
                <w:sz w:val="28"/>
              </w:rPr>
              <w:t>IV.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FELEL</w:t>
            </w:r>
            <w:r w:rsidR="00FC4C9F" w:rsidRPr="00FC4C9F">
              <w:rPr>
                <w:rStyle w:val="Hiperhivatkozs"/>
                <w:noProof/>
                <w:sz w:val="28"/>
              </w:rPr>
              <w:t>ŐSSÉGI ÉS SZERVEZETI REND FORMAILAG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_Toc468709033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6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44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4" w:history="1">
            <w:r w:rsidR="00FC4C9F" w:rsidRPr="00FC4C9F">
              <w:rPr>
                <w:rStyle w:val="Hiperhivatkozs"/>
                <w:noProof/>
                <w:sz w:val="28"/>
              </w:rPr>
              <w:t>V.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JOGSZER</w:t>
            </w:r>
            <w:r w:rsidR="00FC4C9F" w:rsidRPr="00FC4C9F">
              <w:rPr>
                <w:rStyle w:val="Hiperhivatkozs"/>
                <w:noProof/>
                <w:sz w:val="28"/>
              </w:rPr>
              <w:t>ŰSÉGI, GAZDASÁGOSSÁGI ÉS ÉSZSZERŰSÉGI VIZSGÁLAT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_Toc468709034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11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44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5" w:history="1">
            <w:r w:rsidR="00FC4C9F" w:rsidRPr="00FC4C9F">
              <w:rPr>
                <w:rStyle w:val="Hiperhivatkozs"/>
                <w:noProof/>
                <w:sz w:val="28"/>
              </w:rPr>
              <w:t>1.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</w:rPr>
              <w:t>A jogszabálysértést megvalósító körülmények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_Toc468709035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11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2"/>
            <w:tabs>
              <w:tab w:val="left" w:pos="88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6" w:history="1">
            <w:r w:rsidR="00FC4C9F" w:rsidRPr="00FC4C9F">
              <w:rPr>
                <w:rStyle w:val="Hiperhivatkozs"/>
                <w:noProof/>
                <w:sz w:val="28"/>
              </w:rPr>
              <w:t>1.1.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</w:rPr>
              <w:t>Szubjektív értékelési szempontok alkalmazása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_Toc468709036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11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2"/>
            <w:tabs>
              <w:tab w:val="left" w:pos="88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7" w:history="1">
            <w:r w:rsidR="00FC4C9F" w:rsidRPr="00FC4C9F">
              <w:rPr>
                <w:rStyle w:val="Hiperhivatkozs"/>
                <w:noProof/>
                <w:sz w:val="28"/>
              </w:rPr>
              <w:t>1.2.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részvételi felhívásban közzétett értékelési módszer jogszer</w:t>
            </w:r>
            <w:r w:rsidR="00FC4C9F" w:rsidRPr="00FC4C9F">
              <w:rPr>
                <w:rStyle w:val="Hiperhivatkozs"/>
                <w:noProof/>
                <w:sz w:val="28"/>
              </w:rPr>
              <w:t>űtlen megváltoztatása az ajánlattételi szakaszban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_Toc468709037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11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8" w:history="1">
            <w:r w:rsidR="00FC4C9F" w:rsidRPr="00FC4C9F">
              <w:rPr>
                <w:rStyle w:val="Hiperhivatkozs"/>
                <w:noProof/>
                <w:sz w:val="28"/>
              </w:rPr>
              <w:t>1.3.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fizetend</w:t>
            </w:r>
            <w:r w:rsidR="00FC4C9F" w:rsidRPr="00FC4C9F">
              <w:rPr>
                <w:rStyle w:val="Hiperhivatkozs"/>
                <w:noProof/>
                <w:sz w:val="28"/>
              </w:rPr>
              <w:t>ő előleg jogszerűtlen megemelése 25 %-ról 50 %-ra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_Toc468709038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12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2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39" w:history="1">
            <w:r w:rsidR="00FC4C9F" w:rsidRPr="00FC4C9F">
              <w:rPr>
                <w:rStyle w:val="Hiperhivatkozs"/>
                <w:noProof/>
                <w:sz w:val="28"/>
              </w:rPr>
              <w:t>2.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Gazdasági, észszer</w:t>
            </w:r>
            <w:r w:rsidR="00FC4C9F" w:rsidRPr="00FC4C9F">
              <w:rPr>
                <w:rStyle w:val="Hiperhivatkozs"/>
                <w:noProof/>
                <w:sz w:val="28"/>
              </w:rPr>
              <w:t>űségi szempontból kifogásolható körülmények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_Toc468709039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12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0" w:history="1">
            <w:r w:rsidR="00FC4C9F" w:rsidRPr="00FC4C9F">
              <w:rPr>
                <w:rStyle w:val="Hiperhivatkozs"/>
                <w:noProof/>
                <w:sz w:val="28"/>
              </w:rPr>
              <w:t>2.1.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</w:rPr>
              <w:t>Az M2 és M4-es vonal szerelvényeinek egy szerződés keretében történő megrendelése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_Toc468709040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12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1" w:history="1">
            <w:r w:rsidR="00FC4C9F" w:rsidRPr="00FC4C9F">
              <w:rPr>
                <w:rStyle w:val="Hiperhivatkozs"/>
                <w:noProof/>
                <w:sz w:val="28"/>
              </w:rPr>
              <w:t>2.2.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</w:rPr>
              <w:t>Az ajánlattevők számának indokolatlan korlátozása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_Toc468709041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13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2" w:history="1">
            <w:r w:rsidR="00FC4C9F" w:rsidRPr="00FC4C9F">
              <w:rPr>
                <w:rStyle w:val="Hiperhivatkozs"/>
                <w:noProof/>
                <w:sz w:val="28"/>
              </w:rPr>
              <w:t>2.4.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zajszint értékelési szempontként történ</w:t>
            </w:r>
            <w:r w:rsidR="00FC4C9F" w:rsidRPr="00FC4C9F">
              <w:rPr>
                <w:rStyle w:val="Hiperhivatkozs"/>
                <w:noProof/>
                <w:sz w:val="28"/>
              </w:rPr>
              <w:t>ő szerepeltetése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_Toc468709042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3" w:history="1">
            <w:r w:rsidR="00FC4C9F" w:rsidRPr="00FC4C9F">
              <w:rPr>
                <w:rStyle w:val="Hiperhivatkozs"/>
                <w:noProof/>
                <w:sz w:val="28"/>
              </w:rPr>
              <w:t>2.5.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közbeszerzési kiírás és a megkötött szerz</w:t>
            </w:r>
            <w:r w:rsidR="00FC4C9F" w:rsidRPr="00FC4C9F">
              <w:rPr>
                <w:rStyle w:val="Hiperhivatkozs"/>
                <w:noProof/>
                <w:sz w:val="28"/>
              </w:rPr>
              <w:t>ődés közötti kapcsolat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_Toc468709043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4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2.6.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Vis major feltételek meghatározása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_Toc468709044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5" w:history="1">
            <w:r w:rsidR="00FC4C9F" w:rsidRPr="00FC4C9F">
              <w:rPr>
                <w:rStyle w:val="Hiperhivatkozs"/>
                <w:noProof/>
                <w:sz w:val="28"/>
              </w:rPr>
              <w:t>2.7.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Szerz</w:t>
            </w:r>
            <w:r w:rsidR="00FC4C9F" w:rsidRPr="00FC4C9F">
              <w:rPr>
                <w:rStyle w:val="Hiperhivatkozs"/>
                <w:noProof/>
                <w:sz w:val="28"/>
              </w:rPr>
              <w:t>ődéses előleg kifizetése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_Toc468709045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6" w:history="1">
            <w:r w:rsidR="00FC4C9F" w:rsidRPr="00FC4C9F">
              <w:rPr>
                <w:rStyle w:val="Hiperhivatkozs"/>
                <w:noProof/>
                <w:sz w:val="28"/>
              </w:rPr>
              <w:t>2.8.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</w:rPr>
              <w:t>A bankgarancia és joghatóság kikötése, kötbér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_Toc468709046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14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3"/>
            <w:tabs>
              <w:tab w:val="left" w:pos="110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7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2.9.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közbeszerzés elnyerése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_Toc468709047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15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8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VI.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A KÖZBESZERZÉS PARAMÉTEREINEK, ÉRTÉKELÉSÉNEK KIALAKÍTÁSA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_Toc468709048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15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49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VII.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BIZOTTSÁGI MEGHALLGATÁSOK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_Toc468709049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17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FC4C9F" w:rsidRPr="00FC4C9F" w:rsidRDefault="00B40233">
          <w:pPr>
            <w:pStyle w:val="TJ1"/>
            <w:tabs>
              <w:tab w:val="left" w:pos="660"/>
              <w:tab w:val="right" w:leader="dot" w:pos="9601"/>
            </w:tabs>
            <w:rPr>
              <w:rFonts w:asciiTheme="minorHAnsi" w:eastAsiaTheme="minorEastAsia" w:hAnsiTheme="minorHAnsi" w:cstheme="minorBidi"/>
              <w:noProof/>
              <w:sz w:val="28"/>
              <w:lang w:eastAsia="hu-HU"/>
            </w:rPr>
          </w:pPr>
          <w:hyperlink w:anchor="_Toc468709050" w:history="1">
            <w:r w:rsidR="00FC4C9F" w:rsidRPr="00FC4C9F">
              <w:rPr>
                <w:rStyle w:val="Hiperhivatkozs"/>
                <w:noProof/>
                <w:sz w:val="28"/>
                <w:lang w:val="en-US"/>
              </w:rPr>
              <w:t>VIII.</w:t>
            </w:r>
            <w:r w:rsidR="00FC4C9F" w:rsidRPr="00FC4C9F">
              <w:rPr>
                <w:rFonts w:asciiTheme="minorHAnsi" w:eastAsiaTheme="minorEastAsia" w:hAnsiTheme="minorHAnsi" w:cstheme="minorBidi"/>
                <w:noProof/>
                <w:sz w:val="28"/>
                <w:lang w:eastAsia="hu-HU"/>
              </w:rPr>
              <w:tab/>
            </w:r>
            <w:r w:rsidR="00FC4C9F" w:rsidRPr="00FC4C9F">
              <w:rPr>
                <w:rStyle w:val="Hiperhivatkozs"/>
                <w:noProof/>
                <w:sz w:val="28"/>
                <w:lang w:val="en-US"/>
              </w:rPr>
              <w:t>ÖSSZEFOGLALÓ MEGÁLLAPÍTÁSOK</w:t>
            </w:r>
            <w:r w:rsidR="00FC4C9F" w:rsidRPr="00FC4C9F">
              <w:rPr>
                <w:noProof/>
                <w:webHidden/>
                <w:sz w:val="28"/>
              </w:rPr>
              <w:tab/>
            </w:r>
            <w:r w:rsidR="00FC4C9F" w:rsidRPr="00FC4C9F">
              <w:rPr>
                <w:noProof/>
                <w:webHidden/>
                <w:sz w:val="28"/>
              </w:rPr>
              <w:fldChar w:fldCharType="begin"/>
            </w:r>
            <w:r w:rsidR="00FC4C9F" w:rsidRPr="00FC4C9F">
              <w:rPr>
                <w:noProof/>
                <w:webHidden/>
                <w:sz w:val="28"/>
              </w:rPr>
              <w:instrText xml:space="preserve"> PAGEREF _Toc468709050 \h </w:instrText>
            </w:r>
            <w:r w:rsidR="00FC4C9F" w:rsidRPr="00FC4C9F">
              <w:rPr>
                <w:noProof/>
                <w:webHidden/>
                <w:sz w:val="28"/>
              </w:rPr>
            </w:r>
            <w:r w:rsidR="00FC4C9F" w:rsidRPr="00FC4C9F">
              <w:rPr>
                <w:noProof/>
                <w:webHidden/>
                <w:sz w:val="28"/>
              </w:rPr>
              <w:fldChar w:fldCharType="separate"/>
            </w:r>
            <w:r w:rsidR="00225F6D">
              <w:rPr>
                <w:noProof/>
                <w:webHidden/>
                <w:sz w:val="28"/>
              </w:rPr>
              <w:t>19</w:t>
            </w:r>
            <w:r w:rsidR="00FC4C9F" w:rsidRPr="00FC4C9F">
              <w:rPr>
                <w:noProof/>
                <w:webHidden/>
                <w:sz w:val="28"/>
              </w:rPr>
              <w:fldChar w:fldCharType="end"/>
            </w:r>
          </w:hyperlink>
        </w:p>
        <w:p w:rsidR="00A0139D" w:rsidRPr="00A0139D" w:rsidRDefault="00A0139D" w:rsidP="00A0139D">
          <w:pPr>
            <w:rPr>
              <w:rFonts w:asciiTheme="minorHAnsi" w:hAnsiTheme="minorHAnsi"/>
            </w:rPr>
          </w:pPr>
          <w:r w:rsidRPr="00FC4C9F">
            <w:rPr>
              <w:rFonts w:asciiTheme="minorHAnsi" w:hAnsiTheme="minorHAnsi"/>
              <w:b/>
              <w:bCs/>
              <w:sz w:val="36"/>
              <w:szCs w:val="28"/>
            </w:rPr>
            <w:fldChar w:fldCharType="end"/>
          </w:r>
        </w:p>
      </w:sdtContent>
    </w:sdt>
    <w:p w:rsidR="00FC4C9F" w:rsidRPr="00A0139D" w:rsidRDefault="00FC4C9F" w:rsidP="00A276A5">
      <w:pPr>
        <w:spacing w:after="0" w:line="240" w:lineRule="auto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6"/>
        </w:numPr>
      </w:pPr>
      <w:bookmarkStart w:id="0" w:name="_Toc468709030"/>
      <w:r w:rsidRPr="00A0139D">
        <w:rPr>
          <w:lang w:val="en-US"/>
        </w:rPr>
        <w:lastRenderedPageBreak/>
        <w:t>EL</w:t>
      </w:r>
      <w:r w:rsidRPr="00A0139D">
        <w:t>ŐZMÉNYEK</w:t>
      </w:r>
      <w:bookmarkEnd w:id="0"/>
    </w:p>
    <w:p w:rsidR="009E1F84" w:rsidRPr="00A0139D" w:rsidRDefault="009E1F84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2006.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május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30-án a BKV Zrt., mint vevő, közbeszerzési eljárás keretében szerződés</w:t>
      </w:r>
      <w:r w:rsidR="00783AA4" w:rsidRPr="00A0139D">
        <w:rPr>
          <w:rFonts w:asciiTheme="minorHAnsi" w:hAnsiTheme="minorHAnsi" w:cs="Calibri"/>
          <w:sz w:val="28"/>
          <w:szCs w:val="28"/>
          <w:lang w:val="en-US"/>
        </w:rPr>
        <w:t>eke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 kötött a Budapest Metropolis Konzorciummal</w:t>
      </w:r>
      <w:r w:rsidR="00DC6582" w:rsidRPr="00A0139D">
        <w:rPr>
          <w:rFonts w:asciiTheme="minorHAnsi" w:hAnsiTheme="minorHAnsi" w:cs="Calibri"/>
          <w:sz w:val="28"/>
          <w:szCs w:val="28"/>
          <w:lang w:val="en-US"/>
        </w:rPr>
        <w:t>, mint szállítóval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az M2-es és az M4-es metrószerelvények beszerzésére és karbantartására. A Budapest Metropolis Konzorcium tagjai voltak</w:t>
      </w:r>
      <w:r w:rsidR="0038019E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proofErr w:type="gramStart"/>
      <w:r w:rsidR="0038019E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="0038019E">
        <w:rPr>
          <w:rFonts w:asciiTheme="minorHAnsi" w:hAnsiTheme="minorHAnsi" w:cs="Calibri"/>
          <w:sz w:val="28"/>
          <w:szCs w:val="28"/>
          <w:lang w:val="en-US"/>
        </w:rPr>
        <w:t xml:space="preserve"> Alstom Transport S.A. (szék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helye: Franciaország) és a GANZ Transelektro Közlekedési Zrt. (székhelye: Budapest)</w:t>
      </w:r>
      <w:r w:rsidR="00DC6582" w:rsidRPr="00A0139D">
        <w:rPr>
          <w:rFonts w:asciiTheme="minorHAnsi" w:hAnsiTheme="minorHAnsi" w:cs="Calibri"/>
          <w:sz w:val="28"/>
          <w:szCs w:val="28"/>
          <w:lang w:val="en-US"/>
        </w:rPr>
        <w:t>.</w:t>
      </w:r>
      <w:r w:rsidR="00137F28" w:rsidRPr="00A0139D">
        <w:rPr>
          <w:rFonts w:asciiTheme="minorHAnsi" w:hAnsiTheme="minorHAnsi" w:cs="Calibri"/>
          <w:sz w:val="28"/>
          <w:szCs w:val="28"/>
          <w:lang w:val="en-US"/>
        </w:rPr>
        <w:t xml:space="preserve"> A szerződés</w:t>
      </w:r>
      <w:r w:rsidR="00783AA4" w:rsidRPr="00A0139D">
        <w:rPr>
          <w:rFonts w:asciiTheme="minorHAnsi" w:hAnsiTheme="minorHAnsi" w:cs="Calibri"/>
          <w:sz w:val="28"/>
          <w:szCs w:val="28"/>
          <w:lang w:val="en-US"/>
        </w:rPr>
        <w:t>eke</w:t>
      </w:r>
      <w:r w:rsidR="00137F28" w:rsidRPr="00A0139D">
        <w:rPr>
          <w:rFonts w:asciiTheme="minorHAnsi" w:hAnsiTheme="minorHAnsi" w:cs="Calibri"/>
          <w:sz w:val="28"/>
          <w:szCs w:val="28"/>
          <w:lang w:val="en-US"/>
        </w:rPr>
        <w:t xml:space="preserve">t Demszky Gábor korábbi főpolgármester jelenlétében és ellenjegyzése mellett kötötték </w:t>
      </w:r>
      <w:proofErr w:type="gramStart"/>
      <w:r w:rsidR="00137F28" w:rsidRPr="00A0139D">
        <w:rPr>
          <w:rFonts w:asciiTheme="minorHAnsi" w:hAnsiTheme="minorHAnsi" w:cs="Calibri"/>
          <w:sz w:val="28"/>
          <w:szCs w:val="28"/>
          <w:lang w:val="en-US"/>
        </w:rPr>
        <w:t>meg</w:t>
      </w:r>
      <w:proofErr w:type="gramEnd"/>
      <w:r w:rsidR="00137F28"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783AA4" w:rsidRPr="00A0139D" w:rsidRDefault="00783AA4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szerződések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M2-es vonalra 22 db jármű szerelvény leszállítására és karbantartására, valamint az M4-es vonalra 15 + 7 szerelvény leszállítására és karbantartására vonatkoztak. A szerződések ellenértéke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M2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-es vonatkozásában 149.840.542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uró volt, amelyből a szerelvények 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értéke 139.281.956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uró, a ka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rbantartás költsége 10.558.496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uró volt.</w:t>
      </w:r>
    </w:p>
    <w:p w:rsidR="00783AA4" w:rsidRPr="00A0139D" w:rsidRDefault="00783AA4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M4-es szerelvények esetében a szer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ződés ellenértéke 113.794.341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uró volt, amelyből a szerelvények 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értéke 108.288.934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uró, a k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arbantartás költsége 5.505.407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uró volt.</w:t>
      </w:r>
    </w:p>
    <w:p w:rsidR="005C7B5C" w:rsidRPr="00A0139D" w:rsidRDefault="005C7B5C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teljes szer</w:t>
      </w:r>
      <w:r w:rsidR="0038019E">
        <w:rPr>
          <w:rFonts w:asciiTheme="minorHAnsi" w:hAnsiTheme="minorHAnsi" w:cs="Calibri"/>
          <w:sz w:val="28"/>
          <w:szCs w:val="28"/>
          <w:lang w:val="en-US"/>
        </w:rPr>
        <w:t>ődéses ár összesen 263.634.793 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uró volt.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r w:rsidRPr="00A0139D">
        <w:rPr>
          <w:rFonts w:asciiTheme="minorHAnsi" w:hAnsiTheme="minorHAnsi" w:cs="Calibri"/>
          <w:sz w:val="28"/>
          <w:szCs w:val="28"/>
        </w:rPr>
        <w:t xml:space="preserve"> Egyesült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Királyság Jelent</w:t>
      </w:r>
      <w:r w:rsidRPr="00A0139D">
        <w:rPr>
          <w:rFonts w:asciiTheme="minorHAnsi" w:hAnsiTheme="minorHAnsi" w:cs="Calibri"/>
          <w:sz w:val="28"/>
          <w:szCs w:val="28"/>
        </w:rPr>
        <w:t>ős Csalások Elleni Hivatala Alstom</w:t>
      </w:r>
      <w:r w:rsidR="00793654" w:rsidRPr="00A0139D">
        <w:rPr>
          <w:rFonts w:asciiTheme="minorHAnsi" w:hAnsiTheme="minorHAnsi" w:cs="Calibri"/>
          <w:sz w:val="28"/>
          <w:szCs w:val="28"/>
        </w:rPr>
        <w:t xml:space="preserve"> </w:t>
      </w:r>
      <w:r w:rsidRPr="00A0139D">
        <w:rPr>
          <w:rFonts w:asciiTheme="minorHAnsi" w:hAnsiTheme="minorHAnsi" w:cs="Calibri"/>
          <w:sz w:val="28"/>
          <w:szCs w:val="28"/>
        </w:rPr>
        <w:t xml:space="preserve">vezetőket vádolt meg azzal, hogy </w:t>
      </w:r>
      <w:r w:rsidR="00793654" w:rsidRPr="00A0139D">
        <w:rPr>
          <w:rFonts w:asciiTheme="minorHAnsi" w:hAnsiTheme="minorHAnsi" w:cs="Calibri"/>
          <w:sz w:val="28"/>
          <w:szCs w:val="28"/>
        </w:rPr>
        <w:t>összesen 2,3 millió eur</w:t>
      </w:r>
      <w:r w:rsidRPr="00A0139D">
        <w:rPr>
          <w:rFonts w:asciiTheme="minorHAnsi" w:hAnsiTheme="minorHAnsi" w:cs="Calibri"/>
          <w:sz w:val="28"/>
          <w:szCs w:val="28"/>
        </w:rPr>
        <w:t>ós kenőpénzt adtak, vagy beleegyeztek, hogy adnak a B</w:t>
      </w:r>
      <w:r w:rsidR="003F6250" w:rsidRPr="00A0139D">
        <w:rPr>
          <w:rFonts w:asciiTheme="minorHAnsi" w:hAnsiTheme="minorHAnsi" w:cs="Calibri"/>
          <w:sz w:val="28"/>
          <w:szCs w:val="28"/>
        </w:rPr>
        <w:t>KV</w:t>
      </w:r>
      <w:r w:rsidR="00DC6582" w:rsidRPr="00A0139D">
        <w:rPr>
          <w:rFonts w:asciiTheme="minorHAnsi" w:hAnsiTheme="minorHAnsi" w:cs="Calibri"/>
          <w:sz w:val="28"/>
          <w:szCs w:val="28"/>
        </w:rPr>
        <w:t xml:space="preserve"> Zrt.</w:t>
      </w:r>
      <w:r w:rsidR="003F6250" w:rsidRPr="00A0139D">
        <w:rPr>
          <w:rFonts w:asciiTheme="minorHAnsi" w:hAnsiTheme="minorHAnsi" w:cs="Calibri"/>
          <w:sz w:val="28"/>
          <w:szCs w:val="28"/>
        </w:rPr>
        <w:t xml:space="preserve"> tisztviselőinek, ügynökeinek</w:t>
      </w:r>
      <w:r w:rsidRPr="00A0139D">
        <w:rPr>
          <w:rFonts w:asciiTheme="minorHAnsi" w:hAnsiTheme="minorHAnsi" w:cs="Calibri"/>
          <w:sz w:val="28"/>
          <w:szCs w:val="28"/>
        </w:rPr>
        <w:t xml:space="preserve"> </w:t>
      </w:r>
      <w:r w:rsidR="003F6250" w:rsidRPr="00A0139D">
        <w:rPr>
          <w:rFonts w:asciiTheme="minorHAnsi" w:hAnsiTheme="minorHAnsi" w:cs="Calibri"/>
          <w:sz w:val="28"/>
          <w:szCs w:val="28"/>
        </w:rPr>
        <w:t xml:space="preserve">annak érdekében, </w:t>
      </w:r>
      <w:r w:rsidR="005C7B5C" w:rsidRPr="00A0139D">
        <w:rPr>
          <w:rFonts w:asciiTheme="minorHAnsi" w:hAnsiTheme="minorHAnsi" w:cs="Calibri"/>
          <w:sz w:val="28"/>
          <w:szCs w:val="28"/>
        </w:rPr>
        <w:t>hogy a közbeszerzési eljárást megnyerhessék</w:t>
      </w:r>
      <w:r w:rsidR="00DC6582" w:rsidRPr="00A0139D">
        <w:rPr>
          <w:rFonts w:asciiTheme="minorHAnsi" w:hAnsiTheme="minorHAnsi" w:cs="Calibri"/>
          <w:sz w:val="28"/>
          <w:szCs w:val="28"/>
        </w:rPr>
        <w:t>. Jelenleg hazánkban</w:t>
      </w:r>
      <w:r w:rsidRPr="00A0139D">
        <w:rPr>
          <w:rFonts w:asciiTheme="minorHAnsi" w:hAnsiTheme="minorHAnsi" w:cs="Calibri"/>
          <w:sz w:val="28"/>
          <w:szCs w:val="28"/>
        </w:rPr>
        <w:t xml:space="preserve"> büntető eljárás fo</w:t>
      </w:r>
      <w:r w:rsidR="00793654" w:rsidRPr="00A0139D">
        <w:rPr>
          <w:rFonts w:asciiTheme="minorHAnsi" w:hAnsiTheme="minorHAnsi" w:cs="Calibri"/>
          <w:sz w:val="28"/>
          <w:szCs w:val="28"/>
        </w:rPr>
        <w:t>lyik az ügy kivizsgálására, hiszen a</w:t>
      </w:r>
      <w:r w:rsidRPr="00A0139D">
        <w:rPr>
          <w:rFonts w:asciiTheme="minorHAnsi" w:hAnsiTheme="minorHAnsi" w:cs="Calibri"/>
          <w:sz w:val="28"/>
          <w:szCs w:val="28"/>
        </w:rPr>
        <w:t xml:space="preserve"> </w:t>
      </w:r>
      <w:r w:rsidR="00793654" w:rsidRPr="00A0139D">
        <w:rPr>
          <w:rFonts w:asciiTheme="minorHAnsi" w:hAnsiTheme="minorHAnsi" w:cs="Calibri"/>
          <w:sz w:val="28"/>
          <w:szCs w:val="28"/>
        </w:rPr>
        <w:t>Magyar Á</w:t>
      </w:r>
      <w:r w:rsidRPr="00A0139D">
        <w:rPr>
          <w:rFonts w:asciiTheme="minorHAnsi" w:hAnsiTheme="minorHAnsi" w:cs="Calibri"/>
          <w:sz w:val="28"/>
          <w:szCs w:val="28"/>
        </w:rPr>
        <w:t xml:space="preserve">llamot és </w:t>
      </w:r>
      <w:r w:rsidR="003F6250" w:rsidRPr="00A0139D">
        <w:rPr>
          <w:rFonts w:asciiTheme="minorHAnsi" w:hAnsiTheme="minorHAnsi" w:cs="Calibri"/>
          <w:sz w:val="28"/>
          <w:szCs w:val="28"/>
        </w:rPr>
        <w:t xml:space="preserve">Budapest </w:t>
      </w:r>
      <w:r w:rsidR="00793654" w:rsidRPr="00A0139D">
        <w:rPr>
          <w:rFonts w:asciiTheme="minorHAnsi" w:hAnsiTheme="minorHAnsi" w:cs="Calibri"/>
          <w:sz w:val="28"/>
          <w:szCs w:val="28"/>
        </w:rPr>
        <w:t>Főváros Ö</w:t>
      </w:r>
      <w:r w:rsidRPr="00A0139D">
        <w:rPr>
          <w:rFonts w:asciiTheme="minorHAnsi" w:hAnsiTheme="minorHAnsi" w:cs="Calibri"/>
          <w:sz w:val="28"/>
          <w:szCs w:val="28"/>
        </w:rPr>
        <w:t>nkormányza</w:t>
      </w:r>
      <w:r w:rsidR="00793654" w:rsidRPr="00A0139D">
        <w:rPr>
          <w:rFonts w:asciiTheme="minorHAnsi" w:hAnsiTheme="minorHAnsi" w:cs="Calibri"/>
          <w:sz w:val="28"/>
          <w:szCs w:val="28"/>
        </w:rPr>
        <w:t>tá</w:t>
      </w:r>
      <w:r w:rsidRPr="00A0139D">
        <w:rPr>
          <w:rFonts w:asciiTheme="minorHAnsi" w:hAnsiTheme="minorHAnsi" w:cs="Calibri"/>
          <w:sz w:val="28"/>
          <w:szCs w:val="28"/>
        </w:rPr>
        <w:t>t is jelentős vagyoni hátrány érhe</w:t>
      </w:r>
      <w:r w:rsidR="00793654" w:rsidRPr="00A0139D">
        <w:rPr>
          <w:rFonts w:asciiTheme="minorHAnsi" w:hAnsiTheme="minorHAnsi" w:cs="Calibri"/>
          <w:sz w:val="28"/>
          <w:szCs w:val="28"/>
        </w:rPr>
        <w:t>t</w:t>
      </w:r>
      <w:r w:rsidRPr="00A0139D">
        <w:rPr>
          <w:rFonts w:asciiTheme="minorHAnsi" w:hAnsiTheme="minorHAnsi" w:cs="Calibri"/>
          <w:sz w:val="28"/>
          <w:szCs w:val="28"/>
        </w:rPr>
        <w:t>te.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Ezért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F</w:t>
      </w:r>
      <w:r w:rsidR="00CB002A" w:rsidRPr="00A0139D">
        <w:rPr>
          <w:rFonts w:asciiTheme="minorHAnsi" w:hAnsiTheme="minorHAnsi" w:cs="Calibri"/>
          <w:sz w:val="28"/>
          <w:szCs w:val="28"/>
        </w:rPr>
        <w:t>ővárosi Közgyűlés</w:t>
      </w:r>
      <w:r w:rsidRPr="00A0139D">
        <w:rPr>
          <w:rFonts w:asciiTheme="minorHAnsi" w:hAnsiTheme="minorHAnsi" w:cs="Calibri"/>
          <w:sz w:val="28"/>
          <w:szCs w:val="28"/>
        </w:rPr>
        <w:t xml:space="preserve"> 2016. </w:t>
      </w:r>
      <w:proofErr w:type="gramStart"/>
      <w:r w:rsidRPr="00A0139D">
        <w:rPr>
          <w:rFonts w:asciiTheme="minorHAnsi" w:hAnsiTheme="minorHAnsi" w:cs="Calibri"/>
          <w:sz w:val="28"/>
          <w:szCs w:val="28"/>
        </w:rPr>
        <w:t>május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12-ei ülésén úgy döntött, hogy az Alstom metrókocsik beszerzése ügyében felmerült korrupciós vádak </w:t>
      </w:r>
      <w:r w:rsidR="00CB002A" w:rsidRPr="00A0139D">
        <w:rPr>
          <w:rFonts w:asciiTheme="minorHAnsi" w:hAnsiTheme="minorHAnsi" w:cs="Calibri"/>
          <w:sz w:val="28"/>
          <w:szCs w:val="28"/>
        </w:rPr>
        <w:t>kivizsgálására a Fővárosi Önkor</w:t>
      </w:r>
      <w:r w:rsidRPr="00A0139D">
        <w:rPr>
          <w:rFonts w:asciiTheme="minorHAnsi" w:hAnsiTheme="minorHAnsi" w:cs="Calibri"/>
          <w:sz w:val="28"/>
          <w:szCs w:val="28"/>
        </w:rPr>
        <w:t xml:space="preserve">mányzat Szervezeti és Működési Szabályzatáról szóló 53/2014.(XII.12.) Főv. Kgy. </w:t>
      </w:r>
      <w:proofErr w:type="gramStart"/>
      <w:r w:rsidRPr="00A0139D">
        <w:rPr>
          <w:rFonts w:asciiTheme="minorHAnsi" w:hAnsiTheme="minorHAnsi" w:cs="Calibri"/>
          <w:sz w:val="28"/>
          <w:szCs w:val="28"/>
        </w:rPr>
        <w:t>rendelet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módosításával ideiglenes vizsgáló bizottságot hoz létre. </w:t>
      </w:r>
    </w:p>
    <w:p w:rsidR="001C7080" w:rsidRPr="00A0139D" w:rsidRDefault="00413FB3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Az Alstom Metrókocsi Beszerzéseket Vizsgáló Ideiglenes Bizottság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felállításáról a 2016. </w:t>
      </w:r>
      <w:proofErr w:type="gramStart"/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június</w:t>
      </w:r>
      <w:proofErr w:type="gramEnd"/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8-ai F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ővárosi Közgyűlés a 713/2016. (VI.18.) Főv. Kgy. </w:t>
      </w:r>
      <w:proofErr w:type="gramStart"/>
      <w:r w:rsidR="001C7080" w:rsidRPr="00A0139D">
        <w:rPr>
          <w:rFonts w:asciiTheme="minorHAnsi" w:hAnsiTheme="minorHAnsi" w:cs="Calibri"/>
          <w:sz w:val="28"/>
          <w:szCs w:val="28"/>
        </w:rPr>
        <w:t>határozatával</w:t>
      </w:r>
      <w:proofErr w:type="gramEnd"/>
      <w:r w:rsidR="001C7080" w:rsidRPr="00A0139D">
        <w:rPr>
          <w:rFonts w:asciiTheme="minorHAnsi" w:hAnsiTheme="minorHAnsi" w:cs="Calibri"/>
          <w:sz w:val="28"/>
          <w:szCs w:val="28"/>
        </w:rPr>
        <w:t xml:space="preserve"> döntött .</w:t>
      </w:r>
    </w:p>
    <w:p w:rsidR="00EE7B2F" w:rsidRDefault="00EE7B2F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>A vizsgáló bizottság fel</w:t>
      </w:r>
      <w:r w:rsidR="00C551A3" w:rsidRPr="00A0139D">
        <w:rPr>
          <w:rFonts w:asciiTheme="minorHAnsi" w:hAnsiTheme="minorHAnsi" w:cs="Calibri"/>
          <w:sz w:val="28"/>
          <w:szCs w:val="28"/>
          <w:lang w:val="en-US"/>
        </w:rPr>
        <w:t>adata volt megvizsgálni a metró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kocsik beszerzésével kapcsolatos: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-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döntéshozási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mechanizmusok m</w:t>
      </w:r>
      <w:r w:rsidRPr="00A0139D">
        <w:rPr>
          <w:rFonts w:asciiTheme="minorHAnsi" w:hAnsiTheme="minorHAnsi" w:cs="Calibri"/>
          <w:sz w:val="28"/>
          <w:szCs w:val="28"/>
        </w:rPr>
        <w:t>űködését,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-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szerz</w:t>
      </w:r>
      <w:r w:rsidRPr="00A0139D">
        <w:rPr>
          <w:rFonts w:asciiTheme="minorHAnsi" w:hAnsiTheme="minorHAnsi" w:cs="Calibri"/>
          <w:sz w:val="28"/>
          <w:szCs w:val="28"/>
        </w:rPr>
        <w:t>ődéskötések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körülményeit,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-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és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 döntések el</w:t>
      </w:r>
      <w:r w:rsidR="005C0C55" w:rsidRPr="00A0139D">
        <w:rPr>
          <w:rFonts w:asciiTheme="minorHAnsi" w:hAnsiTheme="minorHAnsi" w:cs="Calibri"/>
          <w:sz w:val="28"/>
          <w:szCs w:val="28"/>
        </w:rPr>
        <w:t>őkész</w:t>
      </w:r>
      <w:r w:rsidRPr="00A0139D">
        <w:rPr>
          <w:rFonts w:asciiTheme="minorHAnsi" w:hAnsiTheme="minorHAnsi" w:cs="Calibri"/>
          <w:sz w:val="28"/>
          <w:szCs w:val="28"/>
        </w:rPr>
        <w:t>ítésében résztvevők felelősségét.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5C7B5C" w:rsidRPr="00A0139D" w:rsidRDefault="005C7B5C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6"/>
        </w:numPr>
        <w:rPr>
          <w:lang w:val="en-US"/>
        </w:rPr>
      </w:pPr>
      <w:bookmarkStart w:id="1" w:name="_Toc468709031"/>
      <w:r w:rsidRPr="00A0139D">
        <w:rPr>
          <w:lang w:val="en-US"/>
        </w:rPr>
        <w:t>BIZOTTSÁGI MUNKA</w:t>
      </w:r>
      <w:bookmarkEnd w:id="1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vizsgálat lefolytatásához</w:t>
      </w:r>
      <w:r w:rsidR="00D170A9"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proofErr w:type="gramStart"/>
      <w:r w:rsidR="00D170A9"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proofErr w:type="gramEnd"/>
      <w:r w:rsidR="00D170A9" w:rsidRPr="00A0139D">
        <w:rPr>
          <w:rFonts w:asciiTheme="minorHAnsi" w:hAnsiTheme="minorHAnsi" w:cs="Calibri"/>
          <w:sz w:val="28"/>
          <w:szCs w:val="28"/>
          <w:lang w:val="en-US"/>
        </w:rPr>
        <w:t xml:space="preserve"> F</w:t>
      </w:r>
      <w:r w:rsidR="00D170A9" w:rsidRPr="00A0139D">
        <w:rPr>
          <w:rFonts w:asciiTheme="minorHAnsi" w:hAnsiTheme="minorHAnsi" w:cs="Calibri"/>
          <w:sz w:val="28"/>
          <w:szCs w:val="28"/>
        </w:rPr>
        <w:t xml:space="preserve">ővárosi Önkormányzatnál, valamint a BKV-nál fellelhető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több ezer oldal</w:t>
      </w:r>
      <w:r w:rsidR="00D170A9" w:rsidRPr="00A0139D">
        <w:rPr>
          <w:rFonts w:asciiTheme="minorHAnsi" w:hAnsiTheme="minorHAnsi" w:cs="Calibri"/>
          <w:sz w:val="28"/>
          <w:szCs w:val="28"/>
          <w:lang w:val="en-US"/>
        </w:rPr>
        <w:t>nyi iratanyag állt rendelkezésünkre</w:t>
      </w:r>
      <w:r w:rsidRPr="00A0139D">
        <w:rPr>
          <w:rFonts w:asciiTheme="minorHAnsi" w:hAnsiTheme="minorHAnsi" w:cs="Calibri"/>
          <w:sz w:val="28"/>
          <w:szCs w:val="28"/>
        </w:rPr>
        <w:t>.</w:t>
      </w:r>
    </w:p>
    <w:p w:rsidR="001C7080" w:rsidRPr="00A0139D" w:rsidRDefault="00946C7E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Emellett a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bizottság a munkája során szakért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őkön kívül </w:t>
      </w:r>
      <w:proofErr w:type="gramStart"/>
      <w:r w:rsidR="001C7080" w:rsidRPr="00A0139D">
        <w:rPr>
          <w:rFonts w:asciiTheme="minorHAnsi" w:hAnsiTheme="minorHAnsi" w:cs="Calibri"/>
          <w:sz w:val="28"/>
          <w:szCs w:val="28"/>
        </w:rPr>
        <w:t>meghallgatta  Aba</w:t>
      </w:r>
      <w:proofErr w:type="gramEnd"/>
      <w:r w:rsidR="001C7080" w:rsidRPr="00A0139D">
        <w:rPr>
          <w:rFonts w:asciiTheme="minorHAnsi" w:hAnsiTheme="minorHAnsi" w:cs="Calibri"/>
          <w:sz w:val="28"/>
          <w:szCs w:val="28"/>
        </w:rPr>
        <w:t xml:space="preserve"> Botondot, a BKV volt vezérigazgatóját, aki a tender lefolytatását végezte és a közbeszerzési eljárás lezárása után a szerződést megrendelőként aláírta a BKV részéről. Meghallgattuk dr. Szabó Tamást, a közbeszerzési folyamatot segítő Bíráló Bizottság elnökét.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Meghívást kapott bizottsági meghallgatásra Gulyás László, a D</w:t>
      </w:r>
      <w:r w:rsidR="00FA0CCD">
        <w:rPr>
          <w:rFonts w:asciiTheme="minorHAnsi" w:hAnsiTheme="minorHAnsi" w:cs="Calibri"/>
          <w:sz w:val="28"/>
          <w:szCs w:val="28"/>
          <w:lang w:val="en-US"/>
        </w:rPr>
        <w:t>BR volt P</w:t>
      </w:r>
      <w:r w:rsidR="00946C7E" w:rsidRPr="00A0139D">
        <w:rPr>
          <w:rFonts w:asciiTheme="minorHAnsi" w:hAnsiTheme="minorHAnsi" w:cs="Calibri"/>
          <w:sz w:val="28"/>
          <w:szCs w:val="28"/>
          <w:lang w:val="en-US"/>
        </w:rPr>
        <w:t>rojektigazgatója, aki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nem jött el a bizottság ülésére, ezért nem került sor a meghallgatására.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vizsgáló bizottság meghívta Demszky Gábor volt f</w:t>
      </w:r>
      <w:r w:rsidRPr="00A0139D">
        <w:rPr>
          <w:rFonts w:asciiTheme="minorHAnsi" w:hAnsiTheme="minorHAnsi" w:cs="Calibri"/>
          <w:sz w:val="28"/>
          <w:szCs w:val="28"/>
        </w:rPr>
        <w:t xml:space="preserve">őpolgármestert is meghallgatás céljából, azonban ő </w:t>
      </w:r>
      <w:proofErr w:type="gramStart"/>
      <w:r w:rsidRPr="00A0139D">
        <w:rPr>
          <w:rFonts w:asciiTheme="minorHAnsi" w:hAnsiTheme="minorHAnsi" w:cs="Calibri"/>
          <w:sz w:val="28"/>
          <w:szCs w:val="28"/>
        </w:rPr>
        <w:t>sem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jelent meg a bizottság előtt.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5C7B5C" w:rsidRPr="00A0139D" w:rsidRDefault="005C7B5C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6"/>
        </w:numPr>
        <w:rPr>
          <w:lang w:val="en-US"/>
        </w:rPr>
      </w:pPr>
      <w:bookmarkStart w:id="2" w:name="_Toc468709032"/>
      <w:r w:rsidRPr="00A0139D">
        <w:rPr>
          <w:lang w:val="en-US"/>
        </w:rPr>
        <w:t>M2 - M4 METRÓSZERELVÉNYEK BESZERZÉSE</w:t>
      </w:r>
      <w:bookmarkEnd w:id="2"/>
    </w:p>
    <w:p w:rsidR="001C7080" w:rsidRPr="00A0139D" w:rsidRDefault="001C7080" w:rsidP="001C70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A „Metrószerelvények beszerzése” tárgyú árubeszerzésre a BKV Zrt. Európai Uniós közösségi értékhatárt elér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 értékű, tárgyalásos közbeszerzési eljárást írt ki. A beszerzés tárgya a 2. sz. metró („M2”) vonalára 22 db 5 kocsiból álló, a 4. sz. metró 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lastRenderedPageBreak/>
        <w:t xml:space="preserve">(„M4”) vonalára 15 db 4 kocsiból álló, teljes hosszában egyterű, átjárható metrószerelvény volt.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 Részvételi Felhívás 2005.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június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16-án jelent meg az Európai Unió Hivatalos Lapjában (TED), és 2005.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június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24-én a Közbeszerzési Értesít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őben.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 Részvételi Jelentkezések bontására 2005.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augusztus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16-án került sor.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 beadási határid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őig nyolc Részvételi Jelentkezés érkezett (Ansaldobreda, CSR, Metrowagonmash, Siemens, CAF, Hanwha-Rotem, Budapest Metropolis Konzorcium, Bombardier Budapest Metró Konzorcium).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 Részvételi Felhívásban és a Részvételi Dokumentációban rögzített keretszámnak megfelel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ően a következő 5 céget hívták fel ajánlattételre: Bombardier, Budapest Metropolis Konzorcium, Hanwha-Rotem, Metrowagonmash,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Siemens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).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Ajánlattételi Felhívás 2005.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november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17-én került megküldésre az öt el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őminősített Részvételi Jelentkezőnek.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 tárgyalás alapjául szolgáló ajánlatok bontására – amelyre mind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öt Ajánlattev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 beadta ajánlatát – 2006.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január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27-én került sor. </w:t>
      </w:r>
    </w:p>
    <w:p w:rsidR="003F625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 bontást követ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ően közjegyző jelenlétében kisorsolták a tárgyalások sorrendjét. </w:t>
      </w:r>
    </w:p>
    <w:p w:rsidR="003F6250" w:rsidRPr="00A0139D" w:rsidRDefault="001C7080" w:rsidP="00C629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Az első tárgyalási forduló (műszaki tartalom) első körére 2006. február 10-én, </w:t>
      </w:r>
    </w:p>
    <w:p w:rsidR="00FD4C24" w:rsidRPr="00A0139D" w:rsidRDefault="00FD4C24" w:rsidP="00FD4C24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:rsidR="003F6250" w:rsidRPr="00A0139D" w:rsidRDefault="001C7080" w:rsidP="00C629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a másodikra 2006. február 13-14-én, </w:t>
      </w:r>
    </w:p>
    <w:p w:rsidR="00FD4C24" w:rsidRPr="00A0139D" w:rsidRDefault="00FD4C24" w:rsidP="00FD4C24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</w:p>
    <w:p w:rsidR="001C7080" w:rsidRPr="00A0139D" w:rsidRDefault="001C7080" w:rsidP="00C6298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a harmadikra pedig 2006. február 20-24-én került sor. </w:t>
      </w:r>
    </w:p>
    <w:p w:rsidR="00FD4C24" w:rsidRPr="00A0139D" w:rsidRDefault="00FD4C24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 második tárgyalási forduló (kereskedelmi feltételek) 2006.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február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27.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és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2006.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március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2.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között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került lebonyolításra.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Ajánlatkér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 2006.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március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8-án átadta a Végleges Ajánlatkérési Dokumentáció tervezetét, mellyel kapcsolatosan két egyeztető megbeszélést is szervezett az Ajánlattevők részére (2006. március 10., 2006. március 13-14.). Ajánlatkérő 2006. március 14-én átadta a Végleges Ajánlatkérési Dokumentációt az Ajánlattevők részére. A Végleges Ajánlatok beadására, és bontására 2006. március 22-én került sor. 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lastRenderedPageBreak/>
        <w:t xml:space="preserve">Az Ajánlattételi határidőig 5 ajánlat érkezett (Metrowagonmash, Siemens, Hanwha-Rotem, Budapest Metropolis Konzorcium, Bombardier).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 harmadik tárgyalási fordulóra (ártárgyalás) </w:t>
      </w:r>
      <w:r w:rsidR="00946C7E"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2006. </w:t>
      </w:r>
      <w:proofErr w:type="gramStart"/>
      <w:r w:rsidR="00946C7E"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március</w:t>
      </w:r>
      <w:proofErr w:type="gramEnd"/>
      <w:r w:rsidR="00946C7E"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23-án került sor.</w:t>
      </w: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A közbeszerzési eljárás nyertese a Budapest Metropolis Consortium </w:t>
      </w:r>
      <w:proofErr w:type="gramStart"/>
      <w:r w:rsidR="00946C7E"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lett</w:t>
      </w:r>
      <w:proofErr w:type="gramEnd"/>
      <w:r w:rsidR="00E45145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, amelyet az</w:t>
      </w:r>
      <w:r w:rsidR="005A485F"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 Alstom és a GANZ cégek alkottak.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 Budapest Metropolis Consortiummal a szállítási szerz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ődések megkötésére a BKV Zrt. Igazgatóságának felhatalmazása alapján 2006.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május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30-án került sor.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A szerz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ődések felépítése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alábbi: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• Megállapodás: keretszerz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ődés, amely tartalmazza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összes megkötött alszerződést külön az M2 és M4 vonalakra;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• Szállítási szerz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ődés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M2 vonalra: 22 db 5 kocsis metrószerelvény beszerzése; </w:t>
      </w:r>
    </w:p>
    <w:p w:rsidR="001C7080" w:rsidRPr="0045323E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• Karbantartási szerz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ődés </w:t>
      </w:r>
      <w:proofErr w:type="gramStart"/>
      <w:r w:rsidRPr="00A0139D">
        <w:rPr>
          <w:rFonts w:asciiTheme="minorHAnsi" w:hAnsiTheme="minorHAnsi" w:cs="Calibri"/>
          <w:color w:val="000000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 M2 vonalra: 22 db szerelvény 3 éves jótállási időszak a</w:t>
      </w:r>
      <w:r w:rsidR="002D3EEF" w:rsidRPr="00A0139D">
        <w:rPr>
          <w:rFonts w:asciiTheme="minorHAnsi" w:hAnsiTheme="minorHAnsi" w:cs="Calibri"/>
          <w:color w:val="000000"/>
          <w:sz w:val="28"/>
          <w:szCs w:val="28"/>
        </w:rPr>
        <w:t xml:space="preserve">latti karbantartási </w:t>
      </w:r>
      <w:r w:rsidR="002D3EEF" w:rsidRPr="0045323E">
        <w:rPr>
          <w:rFonts w:asciiTheme="minorHAnsi" w:hAnsiTheme="minorHAnsi" w:cs="Calibri"/>
          <w:sz w:val="28"/>
          <w:szCs w:val="28"/>
        </w:rPr>
        <w:t>tevékenységre</w:t>
      </w:r>
      <w:r w:rsidRPr="0045323E">
        <w:rPr>
          <w:rFonts w:asciiTheme="minorHAnsi" w:hAnsiTheme="minorHAnsi" w:cs="Calibri"/>
          <w:sz w:val="28"/>
          <w:szCs w:val="28"/>
        </w:rPr>
        <w:t xml:space="preserve">; </w:t>
      </w:r>
    </w:p>
    <w:p w:rsidR="001C7080" w:rsidRPr="0045323E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45323E">
        <w:rPr>
          <w:rFonts w:asciiTheme="minorHAnsi" w:hAnsiTheme="minorHAnsi" w:cs="Calibri"/>
          <w:sz w:val="28"/>
          <w:szCs w:val="28"/>
          <w:lang w:val="en-US"/>
        </w:rPr>
        <w:t>• Szállítási szerz</w:t>
      </w:r>
      <w:r w:rsidRPr="0045323E">
        <w:rPr>
          <w:rFonts w:asciiTheme="minorHAnsi" w:hAnsiTheme="minorHAnsi" w:cs="Calibri"/>
          <w:sz w:val="28"/>
          <w:szCs w:val="28"/>
        </w:rPr>
        <w:t xml:space="preserve">ődés </w:t>
      </w:r>
      <w:proofErr w:type="gramStart"/>
      <w:r w:rsidRPr="0045323E">
        <w:rPr>
          <w:rFonts w:asciiTheme="minorHAnsi" w:hAnsiTheme="minorHAnsi" w:cs="Calibri"/>
          <w:sz w:val="28"/>
          <w:szCs w:val="28"/>
        </w:rPr>
        <w:t>az</w:t>
      </w:r>
      <w:proofErr w:type="gramEnd"/>
      <w:r w:rsidRPr="0045323E">
        <w:rPr>
          <w:rFonts w:asciiTheme="minorHAnsi" w:hAnsiTheme="minorHAnsi" w:cs="Calibri"/>
          <w:sz w:val="28"/>
          <w:szCs w:val="28"/>
        </w:rPr>
        <w:t xml:space="preserve"> M4 vonalra: 15+7 db 4 kocsis metrószerelvény beszerzése; </w:t>
      </w:r>
    </w:p>
    <w:p w:rsidR="001C7080" w:rsidRPr="0045323E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45323E">
        <w:rPr>
          <w:rFonts w:asciiTheme="minorHAnsi" w:hAnsiTheme="minorHAnsi" w:cs="Calibri"/>
          <w:sz w:val="28"/>
          <w:szCs w:val="28"/>
          <w:lang w:val="en-US"/>
        </w:rPr>
        <w:t>• Karbantartási szerz</w:t>
      </w:r>
      <w:r w:rsidRPr="0045323E">
        <w:rPr>
          <w:rFonts w:asciiTheme="minorHAnsi" w:hAnsiTheme="minorHAnsi" w:cs="Calibri"/>
          <w:sz w:val="28"/>
          <w:szCs w:val="28"/>
        </w:rPr>
        <w:t xml:space="preserve">ődés </w:t>
      </w:r>
      <w:proofErr w:type="gramStart"/>
      <w:r w:rsidRPr="0045323E">
        <w:rPr>
          <w:rFonts w:asciiTheme="minorHAnsi" w:hAnsiTheme="minorHAnsi" w:cs="Calibri"/>
          <w:sz w:val="28"/>
          <w:szCs w:val="28"/>
        </w:rPr>
        <w:t>az</w:t>
      </w:r>
      <w:proofErr w:type="gramEnd"/>
      <w:r w:rsidRPr="0045323E">
        <w:rPr>
          <w:rFonts w:asciiTheme="minorHAnsi" w:hAnsiTheme="minorHAnsi" w:cs="Calibri"/>
          <w:sz w:val="28"/>
          <w:szCs w:val="28"/>
        </w:rPr>
        <w:t xml:space="preserve"> M4 vonalra: 15 db szerelvény 3 éves jótállási időszak a</w:t>
      </w:r>
      <w:r w:rsidR="00E45145">
        <w:rPr>
          <w:rFonts w:asciiTheme="minorHAnsi" w:hAnsiTheme="minorHAnsi" w:cs="Calibri"/>
          <w:sz w:val="28"/>
          <w:szCs w:val="28"/>
        </w:rPr>
        <w:t>latti karbantartási tevékenység</w:t>
      </w:r>
      <w:r w:rsidR="002D3EEF" w:rsidRPr="0045323E">
        <w:rPr>
          <w:rFonts w:asciiTheme="minorHAnsi" w:hAnsiTheme="minorHAnsi" w:cs="Calibri"/>
          <w:sz w:val="28"/>
          <w:szCs w:val="28"/>
        </w:rPr>
        <w:t>re</w:t>
      </w:r>
      <w:r w:rsidRPr="0045323E">
        <w:rPr>
          <w:rFonts w:asciiTheme="minorHAnsi" w:hAnsiTheme="minorHAnsi" w:cs="Calibri"/>
          <w:sz w:val="28"/>
          <w:szCs w:val="28"/>
        </w:rPr>
        <w:t xml:space="preserve">. 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Az A</w:t>
      </w:r>
      <w:r w:rsidR="007D34C6"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lstom</w:t>
      </w:r>
      <w:r w:rsidR="005A485F"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 Transport S.A.</w:t>
      </w: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 által vezetett konzorciumból a szerz</w:t>
      </w: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>ődések aláírását követően kivált a csődbe jutott G</w:t>
      </w:r>
      <w:r w:rsidR="005A485F"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>ANZ</w:t>
      </w: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Transelektro</w:t>
      </w:r>
      <w:r w:rsidR="005A485F"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Közlekedési Zrt.</w:t>
      </w: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A</w:t>
      </w:r>
      <w:r w:rsidR="007D34C6"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>lstom</w:t>
      </w:r>
      <w:r w:rsidRPr="00A0139D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 teljes körű, egyetemleges felelősségvállalása mellett. </w:t>
      </w:r>
    </w:p>
    <w:p w:rsidR="002B7F3F" w:rsidRPr="00A0139D" w:rsidRDefault="002B7F3F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</w:pPr>
    </w:p>
    <w:p w:rsidR="005A485F" w:rsidRPr="00A0139D" w:rsidRDefault="005A485F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color w:val="000000"/>
          <w:sz w:val="32"/>
          <w:szCs w:val="32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6"/>
        </w:numPr>
      </w:pPr>
      <w:bookmarkStart w:id="3" w:name="_Toc468709033"/>
      <w:r w:rsidRPr="00A0139D">
        <w:rPr>
          <w:lang w:val="en-US"/>
        </w:rPr>
        <w:t>FELEL</w:t>
      </w:r>
      <w:r w:rsidRPr="00A0139D">
        <w:t xml:space="preserve">ŐSSÉGI </w:t>
      </w:r>
      <w:r w:rsidR="0008332B" w:rsidRPr="00A0139D">
        <w:t>ÉS SZERVEZETI REND FORMAILAG</w:t>
      </w:r>
      <w:bookmarkEnd w:id="3"/>
      <w:r w:rsidR="0008332B" w:rsidRPr="00A0139D">
        <w:t xml:space="preserve"> </w:t>
      </w:r>
    </w:p>
    <w:p w:rsidR="00F8392B" w:rsidRDefault="00F8392B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közbeszerzés lefolytatását a BKV Zrt. végezte.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szervezeten belül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ún. </w:t>
      </w: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DBR Metro Projektigazgatóság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önálló szervezeti egységként volt felel</w:t>
      </w:r>
      <w:r w:rsidRPr="00A0139D">
        <w:rPr>
          <w:rFonts w:asciiTheme="minorHAnsi" w:hAnsiTheme="minorHAnsi" w:cs="Calibri"/>
          <w:sz w:val="28"/>
          <w:szCs w:val="28"/>
        </w:rPr>
        <w:t>ős a tárgyi beszerzésért.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>A DBR Metro Projektigazgatóság vezet</w:t>
      </w:r>
      <w:r w:rsidR="00F8392B">
        <w:rPr>
          <w:rFonts w:asciiTheme="minorHAnsi" w:hAnsiTheme="minorHAnsi" w:cs="Calibri"/>
          <w:sz w:val="28"/>
          <w:szCs w:val="28"/>
        </w:rPr>
        <w:t>ője: Gulyás László Projekti</w:t>
      </w:r>
      <w:r w:rsidRPr="00A0139D">
        <w:rPr>
          <w:rFonts w:asciiTheme="minorHAnsi" w:hAnsiTheme="minorHAnsi" w:cs="Calibri"/>
          <w:sz w:val="28"/>
          <w:szCs w:val="28"/>
        </w:rPr>
        <w:t>gazgató (2003-2010-ig).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u w:val="single"/>
          <w:lang w:val="en-US"/>
        </w:rPr>
        <w:t>Feladata, felel</w:t>
      </w:r>
      <w:r w:rsidRPr="00A0139D">
        <w:rPr>
          <w:rFonts w:asciiTheme="minorHAnsi" w:hAnsiTheme="minorHAnsi" w:cs="Calibri"/>
          <w:sz w:val="28"/>
          <w:szCs w:val="28"/>
          <w:u w:val="single"/>
        </w:rPr>
        <w:t>őssége:</w:t>
      </w:r>
      <w:r w:rsidRPr="00A0139D">
        <w:rPr>
          <w:rFonts w:asciiTheme="minorHAnsi" w:hAnsiTheme="minorHAnsi" w:cs="Calibri"/>
          <w:sz w:val="28"/>
          <w:szCs w:val="28"/>
        </w:rPr>
        <w:t xml:space="preserve"> közbeszerzési eljárás lebonyolítása, becsült érték meghatározása, bírálóbizottság tagja</w:t>
      </w:r>
    </w:p>
    <w:p w:rsidR="001C7080" w:rsidRPr="00F973D1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b/>
          <w:sz w:val="28"/>
          <w:szCs w:val="28"/>
          <w:u w:val="single"/>
          <w:lang w:val="en-US"/>
        </w:rPr>
      </w:pPr>
      <w:r w:rsidRPr="00F973D1">
        <w:rPr>
          <w:rFonts w:asciiTheme="minorHAnsi" w:hAnsiTheme="minorHAnsi" w:cs="Calibri"/>
          <w:b/>
          <w:sz w:val="28"/>
          <w:szCs w:val="28"/>
          <w:lang w:val="en-US"/>
        </w:rPr>
        <w:t xml:space="preserve">Döntéshozó: BKV Igazgatósága 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BKV Igazgatósága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–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indításához kapcsolódó iratokat és eredményt is végs</w:t>
      </w:r>
      <w:r w:rsidR="001647EE">
        <w:rPr>
          <w:rFonts w:asciiTheme="minorHAnsi" w:hAnsiTheme="minorHAnsi" w:cs="Calibri"/>
          <w:sz w:val="28"/>
          <w:szCs w:val="28"/>
        </w:rPr>
        <w:t>ő soron jóváhagyó testület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Tagok 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>(2004. november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12-</w:t>
      </w:r>
      <w:r w:rsidR="0008332B" w:rsidRPr="00A0139D">
        <w:rPr>
          <w:rFonts w:asciiTheme="minorHAnsi" w:hAnsiTheme="minorHAnsi" w:cs="Calibri"/>
          <w:sz w:val="28"/>
          <w:szCs w:val="28"/>
          <w:lang w:val="en-US"/>
        </w:rPr>
        <w:t>é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</w:t>
      </w:r>
      <w:r w:rsidRPr="00A0139D">
        <w:rPr>
          <w:rFonts w:asciiTheme="minorHAnsi" w:hAnsiTheme="minorHAnsi" w:cs="Calibri"/>
          <w:sz w:val="28"/>
          <w:szCs w:val="28"/>
        </w:rPr>
        <w:t>ől): Aba Botond, Dr. Beleznay Zsolt, Derzsi András, Garadnai András, Lango Marió, Pál László, Szabó Ferenc, Rozsi Éva Judit, Dr. Szedlacskó Zoltán, Dr. Voszka Éva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Tagok 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>(2005. június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1-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>jé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</w:t>
      </w:r>
      <w:r w:rsidRPr="00A0139D">
        <w:rPr>
          <w:rFonts w:asciiTheme="minorHAnsi" w:hAnsiTheme="minorHAnsi" w:cs="Calibri"/>
          <w:sz w:val="28"/>
          <w:szCs w:val="28"/>
        </w:rPr>
        <w:t>ől): fentiek + Suba János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Tagok 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>(2005. december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1-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>j</w:t>
      </w:r>
      <w:r w:rsidR="001647EE">
        <w:rPr>
          <w:rFonts w:asciiTheme="minorHAnsi" w:hAnsiTheme="minorHAnsi" w:cs="Calibri"/>
          <w:sz w:val="28"/>
          <w:szCs w:val="28"/>
          <w:lang w:val="en-US"/>
        </w:rPr>
        <w:t>é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</w:t>
      </w:r>
      <w:r w:rsidRPr="00A0139D">
        <w:rPr>
          <w:rFonts w:asciiTheme="minorHAnsi" w:hAnsiTheme="minorHAnsi" w:cs="Calibri"/>
          <w:sz w:val="28"/>
          <w:szCs w:val="28"/>
        </w:rPr>
        <w:t>ől): Aba Botond, Dr. Beleznay Zsolt, Berki Endre, Derzsi András, Garadnai András, Lango Marió, Pál László, Rozsi Éva Judit, Dr. Szedlacskó Zoltán, Dr. Voszka Éva, Suba János</w:t>
      </w:r>
    </w:p>
    <w:p w:rsidR="005A485F" w:rsidRPr="00A0139D" w:rsidRDefault="005A485F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</w:pPr>
    </w:p>
    <w:p w:rsidR="001C7080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  <w:u w:val="single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  <w:t>A közbeszerzés el</w:t>
      </w:r>
      <w:r w:rsidRPr="00A0139D">
        <w:rPr>
          <w:rFonts w:asciiTheme="minorHAnsi" w:hAnsiTheme="minorHAnsi" w:cs="Calibri"/>
          <w:b/>
          <w:bCs/>
          <w:sz w:val="28"/>
          <w:szCs w:val="28"/>
          <w:u w:val="single"/>
        </w:rPr>
        <w:t>őkészítését, lefolytatását végezték:</w:t>
      </w:r>
    </w:p>
    <w:p w:rsidR="00F973D1" w:rsidRPr="00F973D1" w:rsidRDefault="00F973D1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A végső döntéseket a BKV Zrt. Igazgatótanácsa hozta meg. A többi bizottság előkészítő és jóváhagyó feladatokat hajtott végre.</w:t>
      </w:r>
    </w:p>
    <w:p w:rsidR="001C7080" w:rsidRPr="00A0139D" w:rsidRDefault="001C7080" w:rsidP="00C6298D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20" w:hanging="36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Tender Bizottság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(el</w:t>
      </w:r>
      <w:r w:rsidRPr="00A0139D">
        <w:rPr>
          <w:rFonts w:asciiTheme="minorHAnsi" w:hAnsiTheme="minorHAnsi" w:cs="Calibri"/>
          <w:sz w:val="28"/>
          <w:szCs w:val="28"/>
        </w:rPr>
        <w:t>őzetes jóváhagyó testületként működött)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Projektigazgató által el</w:t>
      </w:r>
      <w:r w:rsidRPr="00A0139D">
        <w:rPr>
          <w:rFonts w:asciiTheme="minorHAnsi" w:hAnsiTheme="minorHAnsi" w:cs="Calibri"/>
          <w:sz w:val="28"/>
          <w:szCs w:val="28"/>
        </w:rPr>
        <w:t>őkészített javaslatot első körben a Tender Bizottság hagyta jóvá vagy véleményezte, még a BKV döntéshozói előterjesztés előtt.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color w:val="FF0000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A Metro-beszerzési eljárás során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: jóváhagyta a részvételi/ajánlattételi felhívást, és a kapcsolódó dokumentációt, és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eredményt – „értékel</w:t>
      </w:r>
      <w:r w:rsidRPr="00A0139D">
        <w:rPr>
          <w:rFonts w:asciiTheme="minorHAnsi" w:hAnsiTheme="minorHAnsi" w:cs="Calibri"/>
          <w:sz w:val="28"/>
          <w:szCs w:val="28"/>
        </w:rPr>
        <w:t xml:space="preserve">ő jelentést” 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Tender Bizottság 6 f</w:t>
      </w:r>
      <w:r w:rsidRPr="00A0139D">
        <w:rPr>
          <w:rFonts w:asciiTheme="minorHAnsi" w:hAnsiTheme="minorHAnsi" w:cs="Calibri"/>
          <w:sz w:val="28"/>
          <w:szCs w:val="28"/>
        </w:rPr>
        <w:t>őből állt: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4 </w:t>
      </w:r>
      <w:proofErr w:type="gramStart"/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f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>ő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a Fővárosi Önkormányzat képviseletében: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Csordás Mihály (közlekedési ügyosztály vezet</w:t>
      </w:r>
      <w:r w:rsidRPr="00A0139D">
        <w:rPr>
          <w:rFonts w:asciiTheme="minorHAnsi" w:hAnsiTheme="minorHAnsi" w:cs="Calibri"/>
          <w:sz w:val="28"/>
          <w:szCs w:val="28"/>
        </w:rPr>
        <w:t>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Katona Kálmán</w:t>
      </w:r>
      <w:r w:rsidR="002F7137" w:rsidRPr="00A0139D">
        <w:rPr>
          <w:rFonts w:asciiTheme="minorHAnsi" w:hAnsiTheme="minorHAnsi" w:cs="Calibri"/>
          <w:sz w:val="28"/>
          <w:szCs w:val="28"/>
          <w:lang w:val="en-US"/>
        </w:rPr>
        <w:t xml:space="preserve"> (MDF</w:t>
      </w:r>
      <w:r w:rsidR="00D9127F" w:rsidRPr="00A0139D">
        <w:rPr>
          <w:rFonts w:asciiTheme="minorHAnsi" w:hAnsiTheme="minorHAnsi" w:cs="Calibri"/>
          <w:sz w:val="28"/>
          <w:szCs w:val="28"/>
          <w:lang w:val="en-US"/>
        </w:rPr>
        <w:t xml:space="preserve"> képviselője</w:t>
      </w:r>
      <w:r w:rsidR="002F7137"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ab/>
        <w:t>Tütt</w:t>
      </w:r>
      <w:r w:rsidRPr="00A0139D">
        <w:rPr>
          <w:rFonts w:asciiTheme="minorHAnsi" w:hAnsiTheme="minorHAnsi" w:cs="Calibri"/>
          <w:sz w:val="28"/>
          <w:szCs w:val="28"/>
        </w:rPr>
        <w:t>ő Kata</w:t>
      </w:r>
      <w:r w:rsidR="002F7137" w:rsidRPr="00A0139D">
        <w:rPr>
          <w:rFonts w:asciiTheme="minorHAnsi" w:hAnsiTheme="minorHAnsi" w:cs="Calibri"/>
          <w:sz w:val="28"/>
          <w:szCs w:val="28"/>
        </w:rPr>
        <w:t xml:space="preserve"> (MSZP</w:t>
      </w:r>
      <w:r w:rsidR="00D9127F" w:rsidRPr="00A0139D">
        <w:rPr>
          <w:rFonts w:asciiTheme="minorHAnsi" w:hAnsiTheme="minorHAnsi" w:cs="Calibri"/>
          <w:sz w:val="28"/>
          <w:szCs w:val="28"/>
        </w:rPr>
        <w:t xml:space="preserve"> képviselője</w:t>
      </w:r>
      <w:r w:rsidR="002F7137" w:rsidRPr="00A0139D">
        <w:rPr>
          <w:rFonts w:asciiTheme="minorHAnsi" w:hAnsiTheme="minorHAnsi" w:cs="Calibri"/>
          <w:sz w:val="28"/>
          <w:szCs w:val="28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Dancs Gábor</w:t>
      </w:r>
      <w:r w:rsidR="001647EE">
        <w:rPr>
          <w:rFonts w:asciiTheme="minorHAnsi" w:hAnsiTheme="minorHAnsi" w:cs="Calibri"/>
          <w:sz w:val="28"/>
          <w:szCs w:val="28"/>
          <w:lang w:val="en-US"/>
        </w:rPr>
        <w:t xml:space="preserve"> (SZDSZ képviselője)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 xml:space="preserve">2 </w:t>
      </w:r>
      <w:proofErr w:type="gramStart"/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f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>ő</w:t>
      </w:r>
      <w:proofErr w:type="gramEnd"/>
      <w:r w:rsidRPr="00A0139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A0139D">
        <w:rPr>
          <w:rFonts w:asciiTheme="minorHAnsi" w:hAnsiTheme="minorHAnsi" w:cs="Calibri"/>
          <w:sz w:val="28"/>
          <w:szCs w:val="28"/>
        </w:rPr>
        <w:t>a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Pr="00A0139D">
        <w:rPr>
          <w:rFonts w:asciiTheme="minorHAnsi" w:hAnsiTheme="minorHAnsi" w:cs="Calibri"/>
          <w:sz w:val="28"/>
          <w:szCs w:val="28"/>
        </w:rPr>
        <w:t>BKV képviseletében: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Aba Botond (BKV vezérigazgató)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Szonntag Andor (járm</w:t>
      </w:r>
      <w:r w:rsidRPr="00A0139D">
        <w:rPr>
          <w:rFonts w:asciiTheme="minorHAnsi" w:hAnsiTheme="minorHAnsi" w:cs="Calibri"/>
          <w:sz w:val="28"/>
          <w:szCs w:val="28"/>
        </w:rPr>
        <w:t>ű műszaki főmérnök, BKV)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i/>
          <w:iCs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Tanácskozási joggal vett részt: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Gulyás László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(DBR Porjektigazgató)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Pap Zsuzsanna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Juvancz Gabriella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Szeiler László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Elekes Márton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Bodnár Árpád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Pandula József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(BKV DBR szakért</w:t>
      </w:r>
      <w:r w:rsidRPr="00A0139D">
        <w:rPr>
          <w:rFonts w:asciiTheme="minorHAnsi" w:hAnsiTheme="minorHAnsi" w:cs="Calibri"/>
          <w:sz w:val="28"/>
          <w:szCs w:val="28"/>
        </w:rPr>
        <w:t>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Bírálóbizottság elnöke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720" w:hanging="360"/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  <w:t>Bíráló Bizottság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Projektigazgató jelölte ki, szabály szerint minimum 3 tagú.</w:t>
      </w:r>
    </w:p>
    <w:p w:rsidR="001C7080" w:rsidRPr="00A0139D" w:rsidRDefault="00D9127F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m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etr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ó beszerzés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esetében: 11 tag + Elnök alkotta</w:t>
      </w:r>
      <w:r w:rsidR="00940C0B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Elnök: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dr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. Szabó Tamás (BKV Zrt. Metro Üzemigazgató)</w:t>
      </w:r>
    </w:p>
    <w:p w:rsidR="002B7F3F" w:rsidRPr="00F973D1" w:rsidRDefault="00F973D1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  <w:lang w:val="en-US"/>
        </w:rPr>
      </w:pPr>
      <w:r w:rsidRPr="00F973D1">
        <w:rPr>
          <w:rFonts w:asciiTheme="minorHAnsi" w:hAnsiTheme="minorHAnsi" w:cs="Calibri"/>
          <w:b/>
          <w:bCs/>
          <w:sz w:val="28"/>
          <w:szCs w:val="28"/>
          <w:lang w:val="en-US"/>
        </w:rPr>
        <w:t>A Bíráló Bizottság a Tender Bizottság döntéseit készítette elő, és tett javaslatokat.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Tagok: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Gulyás László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(DBR Projektigazgató)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Pandula József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(DBR Projektigazgatóság, f</w:t>
      </w:r>
      <w:r w:rsidRPr="00A0139D">
        <w:rPr>
          <w:rFonts w:asciiTheme="minorHAnsi" w:hAnsiTheme="minorHAnsi" w:cs="Calibri"/>
          <w:sz w:val="28"/>
          <w:szCs w:val="28"/>
        </w:rPr>
        <w:t>őmérnök)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Lukács Sándor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(BKV </w:t>
      </w:r>
      <w:r w:rsidR="00F74222">
        <w:rPr>
          <w:rFonts w:asciiTheme="minorHAnsi" w:hAnsiTheme="minorHAnsi" w:cs="Calibri"/>
          <w:sz w:val="28"/>
          <w:szCs w:val="28"/>
          <w:lang w:val="en-US"/>
        </w:rPr>
        <w:t>Zr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t. Metro Üzemigazgatóság)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 xml:space="preserve">Héri József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(BKV </w:t>
      </w:r>
      <w:r w:rsidR="00F74222">
        <w:rPr>
          <w:rFonts w:asciiTheme="minorHAnsi" w:hAnsiTheme="minorHAnsi" w:cs="Calibri"/>
          <w:sz w:val="28"/>
          <w:szCs w:val="28"/>
          <w:lang w:val="en-US"/>
        </w:rPr>
        <w:t>Zr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t. Metro Üzemigazgatóság)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dr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. Deme Sándor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(BKV M</w:t>
      </w:r>
      <w:r w:rsidRPr="00A0139D">
        <w:rPr>
          <w:rFonts w:asciiTheme="minorHAnsi" w:hAnsiTheme="minorHAnsi" w:cs="Calibri"/>
          <w:sz w:val="28"/>
          <w:szCs w:val="28"/>
        </w:rPr>
        <w:t>űszaki Igazgatóság)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Donáth Zoltán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(Beruházási és Közbeszerzési Igazgatóság)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Harth Beatrix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(Beruházási és Közbeszerzési Igazgatóság)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Tóth József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(BFFH Közlekedésügyi Ügyosztály)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dr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. Antalóczi Péter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(BFFH</w:t>
      </w:r>
      <w:r w:rsidRPr="00A0139D">
        <w:rPr>
          <w:rFonts w:asciiTheme="minorHAnsi" w:hAnsiTheme="minorHAnsi" w:cs="Calibri"/>
          <w:sz w:val="28"/>
          <w:szCs w:val="28"/>
        </w:rPr>
        <w:t>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Bodnár Árpád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Kft.)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Elekes Márton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(Eurometro Kft.)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b/>
          <w:bCs/>
          <w:sz w:val="28"/>
          <w:szCs w:val="28"/>
          <w:u w:val="single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  <w:t>Független ellen</w:t>
      </w:r>
      <w:r w:rsidRPr="00A0139D">
        <w:rPr>
          <w:rFonts w:asciiTheme="minorHAnsi" w:hAnsiTheme="minorHAnsi" w:cs="Calibri"/>
          <w:b/>
          <w:bCs/>
          <w:sz w:val="28"/>
          <w:szCs w:val="28"/>
          <w:u w:val="single"/>
        </w:rPr>
        <w:t>őrző mérnök</w:t>
      </w:r>
    </w:p>
    <w:p w:rsidR="001C7080" w:rsidRPr="00A0139D" w:rsidRDefault="00015A2F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Tender Bizottság jóváhagyása el</w:t>
      </w:r>
      <w:r w:rsidR="00D170C7">
        <w:rPr>
          <w:rFonts w:asciiTheme="minorHAnsi" w:hAnsiTheme="minorHAnsi" w:cs="Calibri"/>
          <w:sz w:val="28"/>
          <w:szCs w:val="28"/>
        </w:rPr>
        <w:t>őtt, véleményezés céljából a P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rojektigazgató </w:t>
      </w:r>
      <w:proofErr w:type="gramStart"/>
      <w:r w:rsidR="001C7080" w:rsidRPr="00A0139D">
        <w:rPr>
          <w:rFonts w:asciiTheme="minorHAnsi" w:hAnsiTheme="minorHAnsi" w:cs="Calibri"/>
          <w:sz w:val="28"/>
          <w:szCs w:val="28"/>
        </w:rPr>
        <w:t>minden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dokumentumot elé terjesztett. Ezek a 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Tender Bizottság elé csak </w:t>
      </w:r>
      <w:r w:rsidRPr="00A0139D">
        <w:rPr>
          <w:rFonts w:asciiTheme="minorHAnsi" w:hAnsiTheme="minorHAnsi" w:cs="Calibri"/>
          <w:sz w:val="28"/>
          <w:szCs w:val="28"/>
        </w:rPr>
        <w:t>akkor mehet</w:t>
      </w:r>
      <w:r w:rsidR="00D170C7">
        <w:rPr>
          <w:rFonts w:asciiTheme="minorHAnsi" w:hAnsiTheme="minorHAnsi" w:cs="Calibri"/>
          <w:sz w:val="28"/>
          <w:szCs w:val="28"/>
        </w:rPr>
        <w:t>tek</w:t>
      </w:r>
      <w:r w:rsidRPr="00A0139D">
        <w:rPr>
          <w:rFonts w:asciiTheme="minorHAnsi" w:hAnsiTheme="minorHAnsi" w:cs="Calibri"/>
          <w:sz w:val="28"/>
          <w:szCs w:val="28"/>
        </w:rPr>
        <w:t>, ha a független ellenőrző m</w:t>
      </w:r>
      <w:r w:rsidR="001C7080" w:rsidRPr="00A0139D">
        <w:rPr>
          <w:rFonts w:asciiTheme="minorHAnsi" w:hAnsiTheme="minorHAnsi" w:cs="Calibri"/>
          <w:sz w:val="28"/>
          <w:szCs w:val="28"/>
        </w:rPr>
        <w:t>érnök nem emelt kifogást.</w:t>
      </w:r>
    </w:p>
    <w:p w:rsidR="005C7B5C" w:rsidRPr="00A0139D" w:rsidRDefault="005C7B5C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</w:p>
    <w:p w:rsidR="001C7080" w:rsidRPr="00A0139D" w:rsidRDefault="001C7080" w:rsidP="00C6298D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b/>
          <w:bCs/>
          <w:sz w:val="28"/>
          <w:szCs w:val="28"/>
          <w:u w:val="single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  <w:t>Eurometro Kft. (m</w:t>
      </w:r>
      <w:r w:rsidRPr="00A0139D">
        <w:rPr>
          <w:rFonts w:asciiTheme="minorHAnsi" w:hAnsiTheme="minorHAnsi" w:cs="Calibri"/>
          <w:b/>
          <w:bCs/>
          <w:sz w:val="28"/>
          <w:szCs w:val="28"/>
          <w:u w:val="single"/>
        </w:rPr>
        <w:t>űszaki és közbeszerzési szakértők)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Pap Zsuzsanna (közbeszerzési szakért</w:t>
      </w:r>
      <w:r w:rsidRPr="00A0139D">
        <w:rPr>
          <w:rFonts w:asciiTheme="minorHAnsi" w:hAnsiTheme="minorHAnsi" w:cs="Calibri"/>
          <w:sz w:val="28"/>
          <w:szCs w:val="28"/>
        </w:rPr>
        <w:t>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Juvancz Gabriella (közbeszerzési szakért</w:t>
      </w:r>
      <w:r w:rsidRPr="00A0139D">
        <w:rPr>
          <w:rFonts w:asciiTheme="minorHAnsi" w:hAnsiTheme="minorHAnsi" w:cs="Calibri"/>
          <w:sz w:val="28"/>
          <w:szCs w:val="28"/>
        </w:rPr>
        <w:t>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Elekes Márton (m</w:t>
      </w:r>
      <w:r w:rsidRPr="00A0139D">
        <w:rPr>
          <w:rFonts w:asciiTheme="minorHAnsi" w:hAnsiTheme="minorHAnsi" w:cs="Calibri"/>
          <w:sz w:val="28"/>
          <w:szCs w:val="28"/>
        </w:rPr>
        <w:t>űszaki szakértő)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Bodnár Árpád (m</w:t>
      </w:r>
      <w:r w:rsidRPr="00A0139D">
        <w:rPr>
          <w:rFonts w:asciiTheme="minorHAnsi" w:hAnsiTheme="minorHAnsi" w:cs="Calibri"/>
          <w:sz w:val="28"/>
          <w:szCs w:val="28"/>
        </w:rPr>
        <w:t>űszaki szakértő)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Szeiler László (m</w:t>
      </w:r>
      <w:r w:rsidRPr="00A0139D">
        <w:rPr>
          <w:rFonts w:asciiTheme="minorHAnsi" w:hAnsiTheme="minorHAnsi" w:cs="Calibri"/>
          <w:sz w:val="28"/>
          <w:szCs w:val="28"/>
        </w:rPr>
        <w:t>űszaki szakértő)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  <w:t>Tárgyalóbizottság</w:t>
      </w:r>
    </w:p>
    <w:p w:rsidR="001C7080" w:rsidRPr="00A0139D" w:rsidRDefault="00C02289" w:rsidP="001C708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Legalább 3 tagú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bizottság, melynek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</w:t>
      </w:r>
      <w:r w:rsidR="00D170C7">
        <w:rPr>
          <w:rFonts w:asciiTheme="minorHAnsi" w:hAnsiTheme="minorHAnsi" w:cs="Calibri"/>
          <w:sz w:val="28"/>
          <w:szCs w:val="28"/>
          <w:lang w:val="en-US"/>
        </w:rPr>
        <w:t>P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rojektigazgató tagja és a Független Ellen</w:t>
      </w:r>
      <w:r w:rsidR="001C7080" w:rsidRPr="00A0139D">
        <w:rPr>
          <w:rFonts w:asciiTheme="minorHAnsi" w:hAnsiTheme="minorHAnsi" w:cs="Calibri"/>
          <w:sz w:val="28"/>
          <w:szCs w:val="28"/>
        </w:rPr>
        <w:t>őrző Mérnök megfigyelője (lehetett).</w:t>
      </w:r>
    </w:p>
    <w:p w:rsidR="001C7080" w:rsidRPr="00A0139D" w:rsidRDefault="00C02289" w:rsidP="00D170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metró beszerzés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 xml:space="preserve"> esetében: 8 tag + 7 </w:t>
      </w:r>
      <w:proofErr w:type="gramStart"/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f</w:t>
      </w:r>
      <w:r w:rsidR="001C7080" w:rsidRPr="00A0139D">
        <w:rPr>
          <w:rFonts w:asciiTheme="minorHAnsi" w:hAnsiTheme="minorHAnsi" w:cs="Calibri"/>
          <w:sz w:val="28"/>
          <w:szCs w:val="28"/>
        </w:rPr>
        <w:t>ő</w:t>
      </w:r>
      <w:proofErr w:type="gramEnd"/>
      <w:r w:rsidR="001C7080" w:rsidRPr="00A0139D">
        <w:rPr>
          <w:rFonts w:asciiTheme="minorHAnsi" w:hAnsiTheme="minorHAnsi" w:cs="Calibri"/>
          <w:sz w:val="28"/>
          <w:szCs w:val="28"/>
        </w:rPr>
        <w:t xml:space="preserve"> háttérszakértő alkotta a tárgyalóbizottságot.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b/>
          <w:bCs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lastRenderedPageBreak/>
        <w:t>Tagok: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Gulyás László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Aba Botond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Donáth Zoltán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Szonntag Andor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Elekes Márton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Pandula József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Küls</w:t>
      </w:r>
      <w:r w:rsidRPr="00A0139D">
        <w:rPr>
          <w:rFonts w:asciiTheme="minorHAnsi" w:hAnsiTheme="minorHAnsi" w:cs="Calibri"/>
          <w:sz w:val="28"/>
          <w:szCs w:val="28"/>
        </w:rPr>
        <w:t>ő jogi szakértő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Küls</w:t>
      </w:r>
      <w:r w:rsidRPr="00A0139D">
        <w:rPr>
          <w:rFonts w:asciiTheme="minorHAnsi" w:hAnsiTheme="minorHAnsi" w:cs="Calibri"/>
          <w:sz w:val="28"/>
          <w:szCs w:val="28"/>
        </w:rPr>
        <w:t>ő pénzügyi szakértő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Háttérszakért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>ők: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dr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. Deme Sándor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Lukács Sándor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Harth Beatrix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Bodnár Árpád</w:t>
      </w:r>
    </w:p>
    <w:p w:rsidR="001C7080" w:rsidRPr="00A0139D" w:rsidRDefault="00C02289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Szeiler Lá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szló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Seres József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/>
        <w:ind w:left="720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Földi Zoltán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color w:val="000000"/>
          <w:sz w:val="28"/>
          <w:szCs w:val="28"/>
          <w:lang w:val="en-US"/>
        </w:rPr>
      </w:pPr>
    </w:p>
    <w:p w:rsidR="0022788A" w:rsidRPr="00A0139D" w:rsidRDefault="0022788A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A beszerzési eljárás közreműködésére a Fővárosi Közgyűlés </w:t>
      </w:r>
      <w:r w:rsidR="005A485F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polit</w:t>
      </w:r>
      <w:r w:rsidR="00FA0CC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i</w:t>
      </w:r>
      <w:r w:rsidR="005A485F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kusai, </w:t>
      </w:r>
      <w:r w:rsidR="00FA0CC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frak</w:t>
      </w:r>
      <w:r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c</w:t>
      </w:r>
      <w:r w:rsidR="00FA0CC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i</w:t>
      </w:r>
      <w:r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ói közül </w:t>
      </w:r>
      <w:proofErr w:type="gramStart"/>
      <w:r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akkor legnagyobb létszámmal rendelkező</w:t>
      </w:r>
      <w:r w:rsidR="005A485F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Fidesz-KDNP képviselői csoportból senkit nem kértek fel, vagy jelöltek ki </w:t>
      </w:r>
      <w:r w:rsidR="00FA0CC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egyetlen</w:t>
      </w:r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bizottság tagjává</w:t>
      </w:r>
      <w:r w:rsidR="00FA0CC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sem</w:t>
      </w:r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. A Tender Bizottság munkájában </w:t>
      </w:r>
      <w:proofErr w:type="gramStart"/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az</w:t>
      </w:r>
      <w:proofErr w:type="gramEnd"/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MSZP</w:t>
      </w:r>
      <w:r w:rsidR="001647EE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, az SZDSZ</w:t>
      </w:r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és az MDF képviselői</w:t>
      </w:r>
      <w:r w:rsidR="005A485F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 xml:space="preserve"> </w:t>
      </w:r>
      <w:r w:rsidR="00023562" w:rsidRPr="00A0139D"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vettek részt bizottsági tagként.</w:t>
      </w:r>
    </w:p>
    <w:p w:rsidR="002B7F3F" w:rsidRPr="0073041B" w:rsidRDefault="0073041B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</w:pPr>
      <w:r>
        <w:rPr>
          <w:rFonts w:asciiTheme="minorHAnsi" w:hAnsiTheme="minorHAnsi" w:cs="Calibri"/>
          <w:b/>
          <w:bCs/>
          <w:iCs/>
          <w:color w:val="000000"/>
          <w:sz w:val="28"/>
          <w:szCs w:val="28"/>
          <w:lang w:val="en-US"/>
        </w:rPr>
        <w:t>A közbeszerzés lezárásának végső döntéséről szóló határozati javaslatot a BKV Zrt. Igazgatósága részére Donáth Zoltán készítette el és terjesztette elő (53/2006. sz. határozat).</w:t>
      </w:r>
    </w:p>
    <w:p w:rsidR="001C7080" w:rsidRPr="00A0139D" w:rsidRDefault="001C7080" w:rsidP="00C6298D">
      <w:pPr>
        <w:pStyle w:val="Cmsor1"/>
        <w:numPr>
          <w:ilvl w:val="0"/>
          <w:numId w:val="6"/>
        </w:numPr>
        <w:rPr>
          <w:sz w:val="28"/>
        </w:rPr>
      </w:pPr>
      <w:bookmarkStart w:id="4" w:name="_Toc468709034"/>
      <w:r w:rsidRPr="00A0139D">
        <w:rPr>
          <w:lang w:val="en-US"/>
        </w:rPr>
        <w:lastRenderedPageBreak/>
        <w:t>JOGSZER</w:t>
      </w:r>
      <w:r w:rsidRPr="00A0139D">
        <w:t>ŰSÉGI, GAZDASÁGOSSÁGI ÉS ÉSZSZERŰSÉGI VIZSGÁLAT</w:t>
      </w:r>
      <w:bookmarkEnd w:id="4"/>
    </w:p>
    <w:p w:rsidR="002466BE" w:rsidRPr="00A0139D" w:rsidRDefault="002466BE" w:rsidP="002466BE">
      <w:pPr>
        <w:pStyle w:val="Cmsor2"/>
        <w:ind w:left="576" w:hanging="576"/>
        <w:rPr>
          <w:rFonts w:asciiTheme="minorHAnsi" w:hAnsiTheme="minorHAnsi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8"/>
        </w:numPr>
        <w:rPr>
          <w:sz w:val="28"/>
        </w:rPr>
      </w:pPr>
      <w:bookmarkStart w:id="5" w:name="_Toc468709035"/>
      <w:r w:rsidRPr="00A0139D">
        <w:rPr>
          <w:sz w:val="28"/>
        </w:rPr>
        <w:t>A jogszabálysértést megvalósító körülmények</w:t>
      </w:r>
      <w:bookmarkEnd w:id="5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2"/>
        <w:numPr>
          <w:ilvl w:val="1"/>
          <w:numId w:val="9"/>
        </w:numPr>
        <w:rPr>
          <w:rFonts w:asciiTheme="minorHAnsi" w:hAnsiTheme="minorHAnsi"/>
        </w:rPr>
      </w:pPr>
      <w:bookmarkStart w:id="6" w:name="_Toc468709036"/>
      <w:r w:rsidRPr="00A0139D">
        <w:rPr>
          <w:rFonts w:asciiTheme="minorHAnsi" w:hAnsiTheme="minorHAnsi"/>
        </w:rPr>
        <w:t>Szubjektív értékelési szempontok alkalmazása</w:t>
      </w:r>
      <w:bookmarkEnd w:id="6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közbeszerzési eljárásokban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esélyegyenl</w:t>
      </w:r>
      <w:r w:rsidRPr="00A0139D">
        <w:rPr>
          <w:rFonts w:asciiTheme="minorHAnsi" w:hAnsiTheme="minorHAnsi" w:cs="Calibri"/>
          <w:sz w:val="28"/>
          <w:szCs w:val="28"/>
        </w:rPr>
        <w:t>őség é</w:t>
      </w:r>
      <w:r w:rsidR="00FA0CCD">
        <w:rPr>
          <w:rFonts w:asciiTheme="minorHAnsi" w:hAnsiTheme="minorHAnsi" w:cs="Calibri"/>
          <w:sz w:val="28"/>
          <w:szCs w:val="28"/>
        </w:rPr>
        <w:t>s az egyenlő bánásmód elvét az A</w:t>
      </w:r>
      <w:r w:rsidRPr="00A0139D">
        <w:rPr>
          <w:rFonts w:asciiTheme="minorHAnsi" w:hAnsiTheme="minorHAnsi" w:cs="Calibri"/>
          <w:sz w:val="28"/>
          <w:szCs w:val="28"/>
        </w:rPr>
        <w:t>jánlatkérőnek minden körülmények között érvényesítenie ke</w:t>
      </w:r>
      <w:r w:rsidR="00FA0CCD">
        <w:rPr>
          <w:rFonts w:asciiTheme="minorHAnsi" w:hAnsiTheme="minorHAnsi" w:cs="Calibri"/>
          <w:sz w:val="28"/>
          <w:szCs w:val="28"/>
        </w:rPr>
        <w:t>ll. Ezeknek az alapelveknek az A</w:t>
      </w:r>
      <w:r w:rsidRPr="00A0139D">
        <w:rPr>
          <w:rFonts w:asciiTheme="minorHAnsi" w:hAnsiTheme="minorHAnsi" w:cs="Calibri"/>
          <w:sz w:val="28"/>
          <w:szCs w:val="28"/>
        </w:rPr>
        <w:t>jánlatkérő akkor tesz eleget, ha az értékelési szempontok pontkiosztási módszerét objektíven, mindenki számára előre megismerhető módon, azaz átláthatóan határozza meg. A metróbeszerzések esetében két olyan értékelés</w:t>
      </w:r>
      <w:r w:rsidR="00FA0CCD">
        <w:rPr>
          <w:rFonts w:asciiTheme="minorHAnsi" w:hAnsiTheme="minorHAnsi" w:cs="Calibri"/>
          <w:sz w:val="28"/>
          <w:szCs w:val="28"/>
        </w:rPr>
        <w:t>i szempontot határozott meg az A</w:t>
      </w:r>
      <w:r w:rsidRPr="00A0139D">
        <w:rPr>
          <w:rFonts w:asciiTheme="minorHAnsi" w:hAnsiTheme="minorHAnsi" w:cs="Calibri"/>
          <w:sz w:val="28"/>
          <w:szCs w:val="28"/>
        </w:rPr>
        <w:t>jánlatkérő, amelyek pontkiosztási módszerét egyértelműen szu</w:t>
      </w:r>
      <w:r w:rsidR="00FA0CCD">
        <w:rPr>
          <w:rFonts w:asciiTheme="minorHAnsi" w:hAnsiTheme="minorHAnsi" w:cs="Calibri"/>
          <w:sz w:val="28"/>
          <w:szCs w:val="28"/>
        </w:rPr>
        <w:t>bjektív módon határozta meg az A</w:t>
      </w:r>
      <w:r w:rsidRPr="00A0139D">
        <w:rPr>
          <w:rFonts w:asciiTheme="minorHAnsi" w:hAnsiTheme="minorHAnsi" w:cs="Calibri"/>
          <w:sz w:val="28"/>
          <w:szCs w:val="28"/>
        </w:rPr>
        <w:t>j</w:t>
      </w:r>
      <w:r w:rsidR="00FA0CCD">
        <w:rPr>
          <w:rFonts w:asciiTheme="minorHAnsi" w:hAnsiTheme="minorHAnsi" w:cs="Calibri"/>
          <w:sz w:val="28"/>
          <w:szCs w:val="28"/>
        </w:rPr>
        <w:t>ánlatkérő, sőt! A kiírásban az A</w:t>
      </w:r>
      <w:r w:rsidRPr="00A0139D">
        <w:rPr>
          <w:rFonts w:asciiTheme="minorHAnsi" w:hAnsiTheme="minorHAnsi" w:cs="Calibri"/>
          <w:sz w:val="28"/>
          <w:szCs w:val="28"/>
        </w:rPr>
        <w:t xml:space="preserve">jánlatkérő még támpontot sem adott meg a tekintetben, hogy milyen megajánlásokat tekint előnyösebbnek, vagy hátrányosabbnak. Egy ilyen szempontrendszer </w:t>
      </w:r>
      <w:r w:rsidR="00C02289" w:rsidRPr="00A0139D">
        <w:rPr>
          <w:rFonts w:asciiTheme="minorHAnsi" w:hAnsiTheme="minorHAnsi" w:cs="Calibri"/>
          <w:sz w:val="28"/>
          <w:szCs w:val="28"/>
        </w:rPr>
        <w:t>normál esetben</w:t>
      </w:r>
      <w:r w:rsidRPr="00A0139D">
        <w:rPr>
          <w:rFonts w:asciiTheme="minorHAnsi" w:hAnsiTheme="minorHAnsi" w:cs="Calibri"/>
          <w:sz w:val="28"/>
          <w:szCs w:val="28"/>
        </w:rPr>
        <w:t xml:space="preserve"> nem állná ki a jogorvoslat próbáját. Az érintett két értékelési szempont az „Esztétikai és funkcionális tulajdonságok”, valamint a „Járműdiagnosztika” voltak, melyek együttesen a teljes ért</w:t>
      </w:r>
      <w:r w:rsidR="001753A7">
        <w:rPr>
          <w:rFonts w:asciiTheme="minorHAnsi" w:hAnsiTheme="minorHAnsi" w:cs="Calibri"/>
          <w:sz w:val="28"/>
          <w:szCs w:val="28"/>
        </w:rPr>
        <w:t>ékelésben 13 %-nyi súlyt tettek</w:t>
      </w:r>
      <w:r w:rsidRPr="00A0139D">
        <w:rPr>
          <w:rFonts w:asciiTheme="minorHAnsi" w:hAnsiTheme="minorHAnsi" w:cs="Calibri"/>
          <w:sz w:val="28"/>
          <w:szCs w:val="28"/>
        </w:rPr>
        <w:t xml:space="preserve"> ki. Ilyen volumenű beszerzésnél ezek az értékelési szempontok akár több milliárd forinttal drágább ajánlat</w:t>
      </w:r>
      <w:r w:rsidR="001753A7">
        <w:rPr>
          <w:rFonts w:asciiTheme="minorHAnsi" w:hAnsiTheme="minorHAnsi" w:cs="Calibri"/>
          <w:sz w:val="28"/>
          <w:szCs w:val="28"/>
        </w:rPr>
        <w:t xml:space="preserve"> nyertességét is lehetővé tették</w:t>
      </w:r>
      <w:r w:rsidRPr="00A0139D">
        <w:rPr>
          <w:rFonts w:asciiTheme="minorHAnsi" w:hAnsiTheme="minorHAnsi" w:cs="Calibri"/>
          <w:sz w:val="28"/>
          <w:szCs w:val="28"/>
        </w:rPr>
        <w:t>. Jelen eljárásban az A</w:t>
      </w:r>
      <w:r w:rsidR="00BD7944" w:rsidRPr="00A0139D">
        <w:rPr>
          <w:rFonts w:asciiTheme="minorHAnsi" w:hAnsiTheme="minorHAnsi" w:cs="Calibri"/>
          <w:sz w:val="28"/>
          <w:szCs w:val="28"/>
        </w:rPr>
        <w:t>lstom</w:t>
      </w:r>
      <w:r w:rsidRPr="00A0139D">
        <w:rPr>
          <w:rFonts w:asciiTheme="minorHAnsi" w:hAnsiTheme="minorHAnsi" w:cs="Calibri"/>
          <w:sz w:val="28"/>
          <w:szCs w:val="28"/>
        </w:rPr>
        <w:t xml:space="preserve"> vezette konzorcium magasabb ajánlati árral nyerte meg a közbeszerzést, mint a második helyezett ajánlattevő ajánlati ára. Megállapítható, hogy a két értékelési szempont alkalmazása </w:t>
      </w:r>
      <w:r w:rsidR="001753A7">
        <w:rPr>
          <w:rFonts w:asciiTheme="minorHAnsi" w:hAnsiTheme="minorHAnsi" w:cs="Calibri"/>
          <w:sz w:val="28"/>
          <w:szCs w:val="28"/>
        </w:rPr>
        <w:t>pénzügyi</w:t>
      </w:r>
      <w:r w:rsidRPr="00A0139D">
        <w:rPr>
          <w:rFonts w:asciiTheme="minorHAnsi" w:hAnsiTheme="minorHAnsi" w:cs="Calibri"/>
          <w:sz w:val="28"/>
          <w:szCs w:val="28"/>
        </w:rPr>
        <w:t xml:space="preserve"> szempontból kifejezetten hátrányo</w:t>
      </w:r>
      <w:r w:rsidR="00FA0CCD">
        <w:rPr>
          <w:rFonts w:asciiTheme="minorHAnsi" w:hAnsiTheme="minorHAnsi" w:cs="Calibri"/>
          <w:sz w:val="28"/>
          <w:szCs w:val="28"/>
        </w:rPr>
        <w:t>s volt az A</w:t>
      </w:r>
      <w:r w:rsidRPr="00A0139D">
        <w:rPr>
          <w:rFonts w:asciiTheme="minorHAnsi" w:hAnsiTheme="minorHAnsi" w:cs="Calibri"/>
          <w:sz w:val="28"/>
          <w:szCs w:val="28"/>
        </w:rPr>
        <w:t>jánlatkérőre nézve.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2"/>
        <w:numPr>
          <w:ilvl w:val="1"/>
          <w:numId w:val="10"/>
        </w:numPr>
        <w:rPr>
          <w:rFonts w:asciiTheme="minorHAnsi" w:hAnsiTheme="minorHAnsi"/>
        </w:rPr>
      </w:pPr>
      <w:bookmarkStart w:id="7" w:name="_Toc468709037"/>
      <w:r w:rsidRPr="00A0139D">
        <w:rPr>
          <w:rFonts w:asciiTheme="minorHAnsi" w:hAnsiTheme="minorHAnsi"/>
          <w:lang w:val="en-US"/>
        </w:rPr>
        <w:t>A részvételi felhívásban közzétett értékelési módszer jogszer</w:t>
      </w:r>
      <w:r w:rsidRPr="00A0139D">
        <w:rPr>
          <w:rFonts w:asciiTheme="minorHAnsi" w:hAnsiTheme="minorHAnsi"/>
        </w:rPr>
        <w:t xml:space="preserve">űtlen megváltoztatása </w:t>
      </w:r>
      <w:proofErr w:type="gramStart"/>
      <w:r w:rsidRPr="00A0139D">
        <w:rPr>
          <w:rFonts w:asciiTheme="minorHAnsi" w:hAnsiTheme="minorHAnsi"/>
        </w:rPr>
        <w:t>az</w:t>
      </w:r>
      <w:proofErr w:type="gramEnd"/>
      <w:r w:rsidRPr="00A0139D">
        <w:rPr>
          <w:rFonts w:asciiTheme="minorHAnsi" w:hAnsiTheme="minorHAnsi"/>
        </w:rPr>
        <w:t xml:space="preserve"> ajánlattételi szakaszban</w:t>
      </w:r>
      <w:bookmarkEnd w:id="7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10.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számú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értékelési szempont (Járm</w:t>
      </w:r>
      <w:r w:rsidRPr="00A0139D">
        <w:rPr>
          <w:rFonts w:asciiTheme="minorHAnsi" w:hAnsiTheme="minorHAnsi" w:cs="Calibri"/>
          <w:sz w:val="28"/>
          <w:szCs w:val="28"/>
        </w:rPr>
        <w:t xml:space="preserve">űdiagnosztika kezelhetősége, adatok felhasználhatósága) pontkiosztási </w:t>
      </w:r>
      <w:r w:rsidR="00FA0CCD">
        <w:rPr>
          <w:rFonts w:asciiTheme="minorHAnsi" w:hAnsiTheme="minorHAnsi" w:cs="Calibri"/>
          <w:sz w:val="28"/>
          <w:szCs w:val="28"/>
        </w:rPr>
        <w:t>módszerét az A</w:t>
      </w:r>
      <w:r w:rsidRPr="00A0139D">
        <w:rPr>
          <w:rFonts w:asciiTheme="minorHAnsi" w:hAnsiTheme="minorHAnsi" w:cs="Calibri"/>
          <w:sz w:val="28"/>
          <w:szCs w:val="28"/>
        </w:rPr>
        <w:t>jánlatkérő a részvételi felhívásban még objektív, arány</w:t>
      </w:r>
      <w:r w:rsidR="00BD7944" w:rsidRPr="00A0139D">
        <w:rPr>
          <w:rFonts w:asciiTheme="minorHAnsi" w:hAnsiTheme="minorHAnsi" w:cs="Calibri"/>
          <w:sz w:val="28"/>
          <w:szCs w:val="28"/>
        </w:rPr>
        <w:t xml:space="preserve">osítási módszerként jelölte meg. </w:t>
      </w:r>
      <w:r w:rsidR="00BD7944" w:rsidRPr="00603E34">
        <w:rPr>
          <w:rFonts w:asciiTheme="minorHAnsi" w:hAnsiTheme="minorHAnsi" w:cs="Calibri"/>
          <w:b/>
          <w:sz w:val="28"/>
          <w:szCs w:val="28"/>
        </w:rPr>
        <w:t>A</w:t>
      </w:r>
      <w:r w:rsidRPr="00603E34">
        <w:rPr>
          <w:rFonts w:asciiTheme="minorHAnsi" w:hAnsiTheme="minorHAnsi" w:cs="Calibri"/>
          <w:b/>
          <w:sz w:val="28"/>
          <w:szCs w:val="28"/>
        </w:rPr>
        <w:t>z ajánlattételi szakaszra</w:t>
      </w:r>
      <w:r w:rsidR="00603E34" w:rsidRPr="00603E34">
        <w:rPr>
          <w:rFonts w:asciiTheme="minorHAnsi" w:hAnsiTheme="minorHAnsi" w:cs="Calibri"/>
          <w:b/>
          <w:sz w:val="28"/>
          <w:szCs w:val="28"/>
        </w:rPr>
        <w:t xml:space="preserve"> azonban</w:t>
      </w:r>
      <w:r w:rsidRPr="00603E34">
        <w:rPr>
          <w:rFonts w:asciiTheme="minorHAnsi" w:hAnsiTheme="minorHAnsi" w:cs="Calibri"/>
          <w:b/>
          <w:sz w:val="28"/>
          <w:szCs w:val="28"/>
        </w:rPr>
        <w:t xml:space="preserve"> ez a módszer teljes egészében szubjektív pontkiosztási módszerré került megváltoztatásra.</w:t>
      </w:r>
      <w:r w:rsidRPr="00A0139D">
        <w:rPr>
          <w:rFonts w:asciiTheme="minorHAnsi" w:hAnsiTheme="minorHAnsi" w:cs="Calibri"/>
          <w:sz w:val="28"/>
          <w:szCs w:val="28"/>
        </w:rPr>
        <w:t xml:space="preserve"> Egy ilyen módosítás nem csak, hogy jogszerűtlen, de számos közbeszerzési alapelvvel is szembe megy (átláthatóság, verseny tisztasága). Amennyiben a Közbeszerzési Döntőbizottság vizsgálta volna az eljárást e tekintetben, </w:t>
      </w:r>
      <w:r w:rsidRPr="00A0139D">
        <w:rPr>
          <w:rFonts w:asciiTheme="minorHAnsi" w:hAnsiTheme="minorHAnsi" w:cs="Calibri"/>
          <w:sz w:val="28"/>
          <w:szCs w:val="28"/>
        </w:rPr>
        <w:lastRenderedPageBreak/>
        <w:t xml:space="preserve">úgy </w:t>
      </w:r>
      <w:r w:rsidR="00BD7944" w:rsidRPr="00A0139D">
        <w:rPr>
          <w:rFonts w:asciiTheme="minorHAnsi" w:hAnsiTheme="minorHAnsi" w:cs="Calibri"/>
          <w:sz w:val="28"/>
          <w:szCs w:val="28"/>
        </w:rPr>
        <w:t>valószínűsíthető</w:t>
      </w:r>
      <w:r w:rsidRPr="00A0139D">
        <w:rPr>
          <w:rFonts w:asciiTheme="minorHAnsi" w:hAnsiTheme="minorHAnsi" w:cs="Calibri"/>
          <w:sz w:val="28"/>
          <w:szCs w:val="28"/>
        </w:rPr>
        <w:t>, hogy a jogsértés megállapítása mellett megsemmisítette volna az eljárást.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8" w:name="_Toc468709038"/>
      <w:r w:rsidRPr="00A0139D">
        <w:rPr>
          <w:rFonts w:asciiTheme="minorHAnsi" w:hAnsiTheme="minorHAnsi"/>
          <w:lang w:val="en-US"/>
        </w:rPr>
        <w:t>A fizetend</w:t>
      </w:r>
      <w:r w:rsidRPr="00A0139D">
        <w:rPr>
          <w:rFonts w:asciiTheme="minorHAnsi" w:hAnsiTheme="minorHAnsi"/>
        </w:rPr>
        <w:t>ő előleg jogszerűtlen megemelése 25 %-ról 50 %-ra</w:t>
      </w:r>
      <w:bookmarkEnd w:id="8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</w:t>
      </w:r>
      <w:r w:rsidR="00FA0CCD">
        <w:rPr>
          <w:rFonts w:asciiTheme="minorHAnsi" w:hAnsiTheme="minorHAnsi" w:cs="Calibri"/>
          <w:sz w:val="28"/>
          <w:szCs w:val="28"/>
          <w:lang w:val="en-US"/>
        </w:rPr>
        <w:t>árást megindító felhívásban az 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jánlatkér</w:t>
      </w:r>
      <w:r w:rsidRPr="00A0139D">
        <w:rPr>
          <w:rFonts w:asciiTheme="minorHAnsi" w:hAnsiTheme="minorHAnsi" w:cs="Calibri"/>
          <w:sz w:val="28"/>
          <w:szCs w:val="28"/>
        </w:rPr>
        <w:t>ő 25 % előleg megfizetését írta el</w:t>
      </w:r>
      <w:r w:rsidR="00F42A09" w:rsidRPr="00A0139D">
        <w:rPr>
          <w:rFonts w:asciiTheme="minorHAnsi" w:hAnsiTheme="minorHAnsi" w:cs="Calibri"/>
          <w:sz w:val="28"/>
          <w:szCs w:val="28"/>
        </w:rPr>
        <w:t>ő</w:t>
      </w:r>
      <w:r w:rsidRPr="00A0139D">
        <w:rPr>
          <w:rFonts w:asciiTheme="minorHAnsi" w:hAnsiTheme="minorHAnsi" w:cs="Calibri"/>
          <w:sz w:val="28"/>
          <w:szCs w:val="28"/>
        </w:rPr>
        <w:t>. Az eljárást megindító felhívás alapján tájékozódik minden gazdasági szereplő, tekintettel arra, hogy ennek tartalma teljes terjedelemben közzétételre kerül. Az eljárás második, aj</w:t>
      </w:r>
      <w:r w:rsidR="00FA0CCD">
        <w:rPr>
          <w:rFonts w:asciiTheme="minorHAnsi" w:hAnsiTheme="minorHAnsi" w:cs="Calibri"/>
          <w:sz w:val="28"/>
          <w:szCs w:val="28"/>
        </w:rPr>
        <w:t>ánlattételi szakaszában már az A</w:t>
      </w:r>
      <w:r w:rsidR="005726F3">
        <w:rPr>
          <w:rFonts w:asciiTheme="minorHAnsi" w:hAnsiTheme="minorHAnsi" w:cs="Calibri"/>
          <w:sz w:val="28"/>
          <w:szCs w:val="28"/>
        </w:rPr>
        <w:t>jánlatkérő szerepelt</w:t>
      </w:r>
      <w:r w:rsidRPr="00A0139D">
        <w:rPr>
          <w:rFonts w:asciiTheme="minorHAnsi" w:hAnsiTheme="minorHAnsi" w:cs="Calibri"/>
          <w:sz w:val="28"/>
          <w:szCs w:val="28"/>
        </w:rPr>
        <w:t>etett a korábbi 25 %-hoz képest további 25 % mértékű előleget is.</w:t>
      </w:r>
      <w:r w:rsidR="000B4D79" w:rsidRPr="00A0139D">
        <w:rPr>
          <w:rFonts w:asciiTheme="minorHAnsi" w:hAnsiTheme="minorHAnsi" w:cs="Calibri"/>
          <w:sz w:val="28"/>
          <w:szCs w:val="28"/>
        </w:rPr>
        <w:t xml:space="preserve"> 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részvételi felhívásban közzé kellett volna tenni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ellenszolgáltatás teljesítés</w:t>
      </w:r>
      <w:r w:rsidR="00FA0CCD">
        <w:rPr>
          <w:rFonts w:asciiTheme="minorHAnsi" w:hAnsiTheme="minorHAnsi" w:cs="Calibri"/>
          <w:sz w:val="28"/>
          <w:szCs w:val="28"/>
          <w:lang w:val="en-US"/>
        </w:rPr>
        <w:t>ének valamennyi feltételét. Az 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jánlatkér</w:t>
      </w:r>
      <w:r w:rsidRPr="00A0139D">
        <w:rPr>
          <w:rFonts w:asciiTheme="minorHAnsi" w:hAnsiTheme="minorHAnsi" w:cs="Calibri"/>
          <w:sz w:val="28"/>
          <w:szCs w:val="28"/>
        </w:rPr>
        <w:t xml:space="preserve">ő nem adhatott volna ki e tekintetben a részvételi felhívással ellentétes szerződéstervezetet. </w:t>
      </w:r>
      <w:r w:rsidR="003F6250" w:rsidRPr="00A0139D">
        <w:rPr>
          <w:rFonts w:asciiTheme="minorHAnsi" w:hAnsiTheme="minorHAnsi" w:cs="Calibri"/>
          <w:sz w:val="28"/>
          <w:szCs w:val="28"/>
        </w:rPr>
        <w:t>Jogszerűen csak arra lett volna</w:t>
      </w:r>
      <w:r w:rsidRPr="00A0139D">
        <w:rPr>
          <w:rFonts w:asciiTheme="minorHAnsi" w:hAnsiTheme="minorHAnsi" w:cs="Calibri"/>
          <w:sz w:val="28"/>
          <w:szCs w:val="28"/>
        </w:rPr>
        <w:t xml:space="preserve"> lehetősége </w:t>
      </w:r>
      <w:r w:rsidR="00FA0CCD">
        <w:rPr>
          <w:rFonts w:asciiTheme="minorHAnsi" w:hAnsiTheme="minorHAnsi" w:cs="Calibri"/>
          <w:sz w:val="28"/>
          <w:szCs w:val="28"/>
        </w:rPr>
        <w:t>az A</w:t>
      </w:r>
      <w:r w:rsidR="003F6250" w:rsidRPr="00A0139D">
        <w:rPr>
          <w:rFonts w:asciiTheme="minorHAnsi" w:hAnsiTheme="minorHAnsi" w:cs="Calibri"/>
          <w:sz w:val="28"/>
          <w:szCs w:val="28"/>
        </w:rPr>
        <w:t>jánlatkérőnek, hogy</w:t>
      </w:r>
      <w:r w:rsidRPr="00A0139D">
        <w:rPr>
          <w:rFonts w:asciiTheme="minorHAnsi" w:hAnsiTheme="minorHAnsi" w:cs="Calibri"/>
          <w:sz w:val="28"/>
          <w:szCs w:val="28"/>
        </w:rPr>
        <w:t xml:space="preserve"> a tárgyalások során (pl. az ajánlattevők erre irányuló kifejezett igénye alapján) megváltoztatja a fizetési feltételeket és lehetővé teszi + 25 % előleg igénybevételének leh</w:t>
      </w:r>
      <w:r w:rsidR="003F6250" w:rsidRPr="00A0139D">
        <w:rPr>
          <w:rFonts w:asciiTheme="minorHAnsi" w:hAnsiTheme="minorHAnsi" w:cs="Calibri"/>
          <w:sz w:val="28"/>
          <w:szCs w:val="28"/>
        </w:rPr>
        <w:t>etőségét. Ez esetben is kérdéses azonban</w:t>
      </w:r>
      <w:r w:rsidRPr="00A0139D">
        <w:rPr>
          <w:rFonts w:asciiTheme="minorHAnsi" w:hAnsiTheme="minorHAnsi" w:cs="Calibri"/>
          <w:sz w:val="28"/>
          <w:szCs w:val="28"/>
        </w:rPr>
        <w:t xml:space="preserve"> az összesen 50 % előleg biztosításának gazdasági észszerűsége, annak mértéke szokatlanul magas. Ugyanakkor </w:t>
      </w:r>
      <w:r w:rsidR="003F6250" w:rsidRPr="00A0139D">
        <w:rPr>
          <w:rFonts w:asciiTheme="minorHAnsi" w:hAnsiTheme="minorHAnsi" w:cs="Calibri"/>
          <w:sz w:val="28"/>
          <w:szCs w:val="28"/>
        </w:rPr>
        <w:t xml:space="preserve">kétségtelen, hogy </w:t>
      </w:r>
      <w:r w:rsidRPr="00A0139D">
        <w:rPr>
          <w:rFonts w:asciiTheme="minorHAnsi" w:hAnsiTheme="minorHAnsi" w:cs="Calibri"/>
          <w:sz w:val="28"/>
          <w:szCs w:val="28"/>
        </w:rPr>
        <w:t>fennáll annak a lehetősége, hogy ha ez a + 25 %-os feltétel is megjelentetésre kerül a részvételi felhívásban, akkor további részvételre jelentkezők is érdeklődtek volna az eljárás iránt.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="Calibri"/>
          <w:b/>
          <w:bCs/>
          <w:sz w:val="28"/>
          <w:szCs w:val="28"/>
          <w:u w:val="single"/>
          <w:lang w:val="en-US"/>
        </w:rPr>
      </w:pPr>
    </w:p>
    <w:p w:rsidR="001C7080" w:rsidRPr="00A0139D" w:rsidRDefault="001C7080" w:rsidP="00C6298D">
      <w:pPr>
        <w:pStyle w:val="Cmsor2"/>
        <w:numPr>
          <w:ilvl w:val="0"/>
          <w:numId w:val="10"/>
        </w:numPr>
        <w:rPr>
          <w:rFonts w:asciiTheme="minorHAnsi" w:hAnsiTheme="minorHAnsi"/>
        </w:rPr>
      </w:pPr>
      <w:bookmarkStart w:id="9" w:name="_Toc468709039"/>
      <w:r w:rsidRPr="00A0139D">
        <w:rPr>
          <w:rFonts w:asciiTheme="minorHAnsi" w:hAnsiTheme="minorHAnsi"/>
          <w:lang w:val="en-US"/>
        </w:rPr>
        <w:t>Gazdasági, észszer</w:t>
      </w:r>
      <w:r w:rsidRPr="00A0139D">
        <w:rPr>
          <w:rFonts w:asciiTheme="minorHAnsi" w:hAnsiTheme="minorHAnsi"/>
        </w:rPr>
        <w:t>űségi szempontból kifogásolható körülmények</w:t>
      </w:r>
      <w:bookmarkEnd w:id="9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3"/>
        </w:numPr>
        <w:rPr>
          <w:rFonts w:asciiTheme="minorHAnsi" w:hAnsiTheme="minorHAnsi"/>
        </w:rPr>
      </w:pPr>
      <w:bookmarkStart w:id="10" w:name="_Toc468709040"/>
      <w:r w:rsidRPr="00A0139D">
        <w:rPr>
          <w:rFonts w:asciiTheme="minorHAnsi" w:hAnsiTheme="minorHAnsi"/>
        </w:rPr>
        <w:t>Az M2 és M4-es vonal szerelvényeinek egy szerződés keretében történő megrendelése</w:t>
      </w:r>
      <w:bookmarkEnd w:id="10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lefolytatásakor hatályos közbeszerzési szabályozás alapján is lehet</w:t>
      </w:r>
      <w:r w:rsidR="00FA0CCD">
        <w:rPr>
          <w:rFonts w:asciiTheme="minorHAnsi" w:hAnsiTheme="minorHAnsi" w:cs="Calibri"/>
          <w:sz w:val="28"/>
          <w:szCs w:val="28"/>
        </w:rPr>
        <w:t>ősége volt az A</w:t>
      </w:r>
      <w:r w:rsidRPr="00A0139D">
        <w:rPr>
          <w:rFonts w:asciiTheme="minorHAnsi" w:hAnsiTheme="minorHAnsi" w:cs="Calibri"/>
          <w:sz w:val="28"/>
          <w:szCs w:val="28"/>
        </w:rPr>
        <w:t xml:space="preserve">jánlatkérőnek arra, hogy a közbeszerzési eljárását részekre osztva folytassa le. A részekre osztás azt jelenti, hogy bár egy közbeszerzési eljárás kerül lefolytatásra, a közbeszerzési eljáráson belül egyes területek egymástól függetlenül versenyeznek, tehát </w:t>
      </w:r>
      <w:r w:rsidR="001308DF">
        <w:rPr>
          <w:rFonts w:asciiTheme="minorHAnsi" w:hAnsiTheme="minorHAnsi" w:cs="Calibri"/>
          <w:sz w:val="28"/>
          <w:szCs w:val="28"/>
        </w:rPr>
        <w:t>ebben az esetben</w:t>
      </w:r>
      <w:r w:rsidRPr="00A0139D">
        <w:rPr>
          <w:rFonts w:asciiTheme="minorHAnsi" w:hAnsiTheme="minorHAnsi" w:cs="Calibri"/>
          <w:sz w:val="28"/>
          <w:szCs w:val="28"/>
        </w:rPr>
        <w:t xml:space="preserve"> az M2-es és az M4-es vonal szerelvényeire vonatkozó részt akár külön-külön is elnyerhették volna az ajánlattevők. A részajánlattétel lehetőségének biztosítása nem vitatottan a verseny szélesítését segíti a közbeszerzési eljárásokban. Esetünkben a két metróvonal szerelvényei műszaki értelemben egymástól függetlenül üzemeltethetők. Az eljárás iratai között nem volt fellelhető olyan elemzés, vagy előzetes piackutatás, ami alátámasztotta volna, hogy kedvezőbb</w:t>
      </w:r>
      <w:r w:rsidR="00FA0CCD">
        <w:rPr>
          <w:rFonts w:asciiTheme="minorHAnsi" w:hAnsiTheme="minorHAnsi" w:cs="Calibri"/>
          <w:sz w:val="28"/>
          <w:szCs w:val="28"/>
        </w:rPr>
        <w:t xml:space="preserve"> </w:t>
      </w:r>
      <w:r w:rsidR="00FA0CCD">
        <w:rPr>
          <w:rFonts w:asciiTheme="minorHAnsi" w:hAnsiTheme="minorHAnsi" w:cs="Calibri"/>
          <w:sz w:val="28"/>
          <w:szCs w:val="28"/>
        </w:rPr>
        <w:lastRenderedPageBreak/>
        <w:t>ajánlatokat eredményez, ha az A</w:t>
      </w:r>
      <w:r w:rsidRPr="00A0139D">
        <w:rPr>
          <w:rFonts w:asciiTheme="minorHAnsi" w:hAnsiTheme="minorHAnsi" w:cs="Calibri"/>
          <w:sz w:val="28"/>
          <w:szCs w:val="28"/>
        </w:rPr>
        <w:t>jánlatkérő nem él a részekre bontás lehetőségével. Valószínűsíthető, hogy részajánlattételi lehetőség biztosítása esetén, nagyobb verseny alakulhatott volna ki és kedvezőbb ajánlatok is érkezhettek volna.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11" w:name="_Toc468709041"/>
      <w:r w:rsidRPr="00A0139D">
        <w:rPr>
          <w:rFonts w:asciiTheme="minorHAnsi" w:hAnsiTheme="minorHAnsi"/>
        </w:rPr>
        <w:t>Az ajánlattevők számának indokolatlan korlátozása</w:t>
      </w:r>
      <w:bookmarkEnd w:id="11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metróbeszerzés során alkalmazott úgynevezett két szakaszos eljárás els</w:t>
      </w:r>
      <w:r w:rsidRPr="00A0139D">
        <w:rPr>
          <w:rFonts w:asciiTheme="minorHAnsi" w:hAnsiTheme="minorHAnsi" w:cs="Calibri"/>
          <w:sz w:val="28"/>
          <w:szCs w:val="28"/>
        </w:rPr>
        <w:t xml:space="preserve">ő szakaszában a közbeszerzési szabályozás szerint lehetőség van arra, hogy a teljesítésre </w:t>
      </w:r>
      <w:proofErr w:type="gramStart"/>
      <w:r w:rsidRPr="00A0139D">
        <w:rPr>
          <w:rFonts w:asciiTheme="minorHAnsi" w:hAnsiTheme="minorHAnsi" w:cs="Calibri"/>
          <w:sz w:val="28"/>
          <w:szCs w:val="28"/>
        </w:rPr>
        <w:t>minden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tekintetben alkalmas részvételre jelentkezőket rangsor</w:t>
      </w:r>
      <w:r w:rsidR="00FA0CCD">
        <w:rPr>
          <w:rFonts w:asciiTheme="minorHAnsi" w:hAnsiTheme="minorHAnsi" w:cs="Calibri"/>
          <w:sz w:val="28"/>
          <w:szCs w:val="28"/>
        </w:rPr>
        <w:t>olja az A</w:t>
      </w:r>
      <w:r w:rsidRPr="00A0139D">
        <w:rPr>
          <w:rFonts w:asciiTheme="minorHAnsi" w:hAnsiTheme="minorHAnsi" w:cs="Calibri"/>
          <w:sz w:val="28"/>
          <w:szCs w:val="28"/>
        </w:rPr>
        <w:t>jánlatkérő. Jelen esetben ez a rangsorolás a bemutatott referenciák alapján történt és az egyébként alkalmas 6 részvételre jelentkező közül c</w:t>
      </w:r>
      <w:r w:rsidR="00FA0CCD">
        <w:rPr>
          <w:rFonts w:asciiTheme="minorHAnsi" w:hAnsiTheme="minorHAnsi" w:cs="Calibri"/>
          <w:sz w:val="28"/>
          <w:szCs w:val="28"/>
        </w:rPr>
        <w:t>sak 5 cégtől kért ajánlatot az A</w:t>
      </w:r>
      <w:r w:rsidRPr="00A0139D">
        <w:rPr>
          <w:rFonts w:asciiTheme="minorHAnsi" w:hAnsiTheme="minorHAnsi" w:cs="Calibri"/>
          <w:sz w:val="28"/>
          <w:szCs w:val="28"/>
        </w:rPr>
        <w:t>ánlatkérő. A keretszám meghatározása jogszerű, ugyanakkor felmerül, hogy ilyen volumenű beszerz</w:t>
      </w:r>
      <w:r w:rsidR="00FA0CCD">
        <w:rPr>
          <w:rFonts w:asciiTheme="minorHAnsi" w:hAnsiTheme="minorHAnsi" w:cs="Calibri"/>
          <w:sz w:val="28"/>
          <w:szCs w:val="28"/>
        </w:rPr>
        <w:t>ésben vajon nem elvárható-e az A</w:t>
      </w:r>
      <w:r w:rsidRPr="00A0139D">
        <w:rPr>
          <w:rFonts w:asciiTheme="minorHAnsi" w:hAnsiTheme="minorHAnsi" w:cs="Calibri"/>
          <w:sz w:val="28"/>
          <w:szCs w:val="28"/>
        </w:rPr>
        <w:t>jánlatkérőtől, hogy a hatékony közpénzfelhasználás érdekében a lehető legtöbb alkalmas részvételre jelentkezőnek biztosítson aj</w:t>
      </w:r>
      <w:r w:rsidR="00FA0CCD">
        <w:rPr>
          <w:rFonts w:asciiTheme="minorHAnsi" w:hAnsiTheme="minorHAnsi" w:cs="Calibri"/>
          <w:sz w:val="28"/>
          <w:szCs w:val="28"/>
        </w:rPr>
        <w:t>ánlattételi lehetőséget. Ha az A</w:t>
      </w:r>
      <w:r w:rsidRPr="00A0139D">
        <w:rPr>
          <w:rFonts w:asciiTheme="minorHAnsi" w:hAnsiTheme="minorHAnsi" w:cs="Calibri"/>
          <w:sz w:val="28"/>
          <w:szCs w:val="28"/>
        </w:rPr>
        <w:t>jánlatkérő úgy döntött, hogy csak korlátozott számú résztvevőtől kér ajánlatot</w:t>
      </w:r>
      <w:r w:rsidR="003F6250" w:rsidRPr="00A0139D">
        <w:rPr>
          <w:rFonts w:asciiTheme="minorHAnsi" w:hAnsiTheme="minorHAnsi" w:cs="Calibri"/>
          <w:sz w:val="28"/>
          <w:szCs w:val="28"/>
        </w:rPr>
        <w:t>,</w:t>
      </w:r>
      <w:r w:rsidRPr="00A0139D">
        <w:rPr>
          <w:rFonts w:asciiTheme="minorHAnsi" w:hAnsiTheme="minorHAnsi" w:cs="Calibri"/>
          <w:sz w:val="28"/>
          <w:szCs w:val="28"/>
        </w:rPr>
        <w:t xml:space="preserve"> alappal merül fel az a kérdés, hogy a részvételre jelentkezők rangsorolásánál miért nem fogadta el az alvállalkozók által teljesített referenciákat, vagy az ajánlattevő által alvállalkozóként teljesített referenciákat</w:t>
      </w:r>
      <w:r w:rsidR="003F6250" w:rsidRPr="00A0139D">
        <w:rPr>
          <w:rFonts w:asciiTheme="minorHAnsi" w:hAnsiTheme="minorHAnsi" w:cs="Calibri"/>
          <w:sz w:val="28"/>
          <w:szCs w:val="28"/>
        </w:rPr>
        <w:t>. Az is kérdéses, hogy</w:t>
      </w:r>
      <w:r w:rsidRPr="00A0139D">
        <w:rPr>
          <w:rFonts w:asciiTheme="minorHAnsi" w:hAnsiTheme="minorHAnsi" w:cs="Calibri"/>
          <w:sz w:val="28"/>
          <w:szCs w:val="28"/>
        </w:rPr>
        <w:t xml:space="preserve"> miért nem vették figyelembe a rangsorolásnál, hiszen ezek a referenciák ugyanúgy a pályázók szakmai tapasztalatait tükrözik.</w:t>
      </w:r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Listaszerbekezds"/>
        <w:numPr>
          <w:ilvl w:val="1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A0139D">
        <w:rPr>
          <w:rFonts w:asciiTheme="minorHAnsi" w:hAnsiTheme="minorHAnsi" w:cs="Calibri"/>
          <w:b/>
          <w:bCs/>
          <w:sz w:val="28"/>
          <w:szCs w:val="28"/>
          <w:lang w:val="en-US"/>
        </w:rPr>
        <w:t>A hosszú távra megtett vállalások kikényszeríthet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 xml:space="preserve">őségének </w:t>
      </w:r>
      <w:r w:rsidR="00461230" w:rsidRPr="00A0139D">
        <w:rPr>
          <w:rFonts w:asciiTheme="minorHAnsi" w:hAnsiTheme="minorHAnsi" w:cs="Calibri"/>
          <w:b/>
          <w:bCs/>
          <w:sz w:val="28"/>
          <w:szCs w:val="28"/>
        </w:rPr>
        <w:t xml:space="preserve">a </w:t>
      </w:r>
      <w:r w:rsidRPr="00A0139D">
        <w:rPr>
          <w:rFonts w:asciiTheme="minorHAnsi" w:hAnsiTheme="minorHAnsi" w:cs="Calibri"/>
          <w:b/>
          <w:bCs/>
          <w:sz w:val="28"/>
          <w:szCs w:val="28"/>
        </w:rPr>
        <w:t>hiány</w:t>
      </w:r>
      <w:r w:rsidR="00461230" w:rsidRPr="00A0139D">
        <w:rPr>
          <w:rFonts w:asciiTheme="minorHAnsi" w:hAnsiTheme="minorHAnsi" w:cs="Calibri"/>
          <w:b/>
          <w:bCs/>
          <w:sz w:val="28"/>
          <w:szCs w:val="28"/>
        </w:rPr>
        <w:t>a</w:t>
      </w:r>
    </w:p>
    <w:p w:rsidR="001C7080" w:rsidRPr="00A0139D" w:rsidRDefault="00FA0CCD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  <w:lang w:val="en-US"/>
        </w:rPr>
        <w:t>Az A</w:t>
      </w:r>
      <w:r w:rsidR="001C7080" w:rsidRPr="00A0139D">
        <w:rPr>
          <w:rFonts w:asciiTheme="minorHAnsi" w:hAnsiTheme="minorHAnsi" w:cs="Calibri"/>
          <w:sz w:val="28"/>
          <w:szCs w:val="28"/>
          <w:lang w:val="en-US"/>
        </w:rPr>
        <w:t>jánlatkér</w:t>
      </w:r>
      <w:r w:rsidR="001C7080" w:rsidRPr="00A0139D">
        <w:rPr>
          <w:rFonts w:asciiTheme="minorHAnsi" w:hAnsiTheme="minorHAnsi" w:cs="Calibri"/>
          <w:sz w:val="28"/>
          <w:szCs w:val="28"/>
        </w:rPr>
        <w:t>ő ajánlatot</w:t>
      </w:r>
      <w:r w:rsidR="00461230" w:rsidRPr="00A0139D">
        <w:rPr>
          <w:rFonts w:asciiTheme="minorHAnsi" w:hAnsiTheme="minorHAnsi" w:cs="Calibri"/>
          <w:sz w:val="28"/>
          <w:szCs w:val="28"/>
        </w:rPr>
        <w:t xml:space="preserve"> kért és </w:t>
      </w:r>
      <w:proofErr w:type="gramStart"/>
      <w:r w:rsidR="00461230" w:rsidRPr="00A0139D">
        <w:rPr>
          <w:rFonts w:asciiTheme="minorHAnsi" w:hAnsiTheme="minorHAnsi" w:cs="Calibri"/>
          <w:sz w:val="28"/>
          <w:szCs w:val="28"/>
        </w:rPr>
        <w:t>az</w:t>
      </w:r>
      <w:proofErr w:type="gramEnd"/>
      <w:r w:rsidR="00461230" w:rsidRPr="00A0139D">
        <w:rPr>
          <w:rFonts w:asciiTheme="minorHAnsi" w:hAnsiTheme="minorHAnsi" w:cs="Calibri"/>
          <w:sz w:val="28"/>
          <w:szCs w:val="28"/>
        </w:rPr>
        <w:t xml:space="preserve"> alapján értékelte az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 ajánlatokat, hogy a megajánlott </w:t>
      </w:r>
      <w:r>
        <w:rPr>
          <w:rFonts w:asciiTheme="minorHAnsi" w:hAnsiTheme="minorHAnsi" w:cs="Calibri"/>
          <w:sz w:val="28"/>
          <w:szCs w:val="28"/>
        </w:rPr>
        <w:t>szerelvények vonatkozásában az A</w:t>
      </w:r>
      <w:r w:rsidR="001C7080" w:rsidRPr="00A0139D">
        <w:rPr>
          <w:rFonts w:asciiTheme="minorHAnsi" w:hAnsiTheme="minorHAnsi" w:cs="Calibri"/>
          <w:sz w:val="28"/>
          <w:szCs w:val="28"/>
        </w:rPr>
        <w:t>jánlatkérőnek 5 és 25 éves időtávon belül milyen karbantartási költségei várhatóak. Ugyanakkor ezekre a karbantartási költség</w:t>
      </w:r>
      <w:r w:rsidR="00461230" w:rsidRPr="00A0139D">
        <w:rPr>
          <w:rFonts w:asciiTheme="minorHAnsi" w:hAnsiTheme="minorHAnsi" w:cs="Calibri"/>
          <w:sz w:val="28"/>
          <w:szCs w:val="28"/>
        </w:rPr>
        <w:t>ek</w:t>
      </w:r>
      <w:r w:rsidR="001C7080" w:rsidRPr="00A0139D">
        <w:rPr>
          <w:rFonts w:asciiTheme="minorHAnsi" w:hAnsiTheme="minorHAnsi" w:cs="Calibri"/>
          <w:sz w:val="28"/>
          <w:szCs w:val="28"/>
        </w:rPr>
        <w:t>re tett megajánlások</w:t>
      </w:r>
      <w:r w:rsidR="00461230" w:rsidRPr="00A0139D">
        <w:rPr>
          <w:rFonts w:asciiTheme="minorHAnsi" w:hAnsiTheme="minorHAnsi" w:cs="Calibri"/>
          <w:sz w:val="28"/>
          <w:szCs w:val="28"/>
        </w:rPr>
        <w:t>ra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 vonatkoz</w:t>
      </w:r>
      <w:r w:rsidR="00461230" w:rsidRPr="00A0139D">
        <w:rPr>
          <w:rFonts w:asciiTheme="minorHAnsi" w:hAnsiTheme="minorHAnsi" w:cs="Calibri"/>
          <w:sz w:val="28"/>
          <w:szCs w:val="28"/>
        </w:rPr>
        <w:t>óan</w:t>
      </w:r>
      <w:r w:rsidR="001C7080" w:rsidRPr="00A0139D">
        <w:rPr>
          <w:rFonts w:asciiTheme="minorHAnsi" w:hAnsiTheme="minorHAnsi" w:cs="Calibri"/>
          <w:sz w:val="28"/>
          <w:szCs w:val="28"/>
        </w:rPr>
        <w:t xml:space="preserve"> a szerződés semmil</w:t>
      </w:r>
      <w:r>
        <w:rPr>
          <w:rFonts w:asciiTheme="minorHAnsi" w:hAnsiTheme="minorHAnsi" w:cs="Calibri"/>
          <w:sz w:val="28"/>
          <w:szCs w:val="28"/>
        </w:rPr>
        <w:t>yen garanciát nem tartalmaz az A</w:t>
      </w:r>
      <w:r w:rsidR="001C7080" w:rsidRPr="00A0139D">
        <w:rPr>
          <w:rFonts w:asciiTheme="minorHAnsi" w:hAnsiTheme="minorHAnsi" w:cs="Calibri"/>
          <w:sz w:val="28"/>
          <w:szCs w:val="28"/>
        </w:rPr>
        <w:t>jánlatkérő részére, ami alapján biztosítható, hogy a megajánlott költségek alatt maradjon a nyertes ajánlattevő. Szabályoz</w:t>
      </w:r>
      <w:r>
        <w:rPr>
          <w:rFonts w:asciiTheme="minorHAnsi" w:hAnsiTheme="minorHAnsi" w:cs="Calibri"/>
          <w:sz w:val="28"/>
          <w:szCs w:val="28"/>
        </w:rPr>
        <w:t>atlan az a terület is, hogy az A</w:t>
      </w:r>
      <w:r w:rsidR="001C7080" w:rsidRPr="00A0139D">
        <w:rPr>
          <w:rFonts w:asciiTheme="minorHAnsi" w:hAnsiTheme="minorHAnsi" w:cs="Calibri"/>
          <w:sz w:val="28"/>
          <w:szCs w:val="28"/>
        </w:rPr>
        <w:t>jánlatkérő milyen kárigénnyel léphet fel, ha utóbb mégis a megajánlott költségeket meghaladó mértékű költségek merülnének fel.</w:t>
      </w:r>
    </w:p>
    <w:p w:rsidR="005C7B5C" w:rsidRPr="00A0139D" w:rsidRDefault="005C7B5C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FD4C24" w:rsidRPr="00A0139D" w:rsidRDefault="00FD4C24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FD4C24" w:rsidRPr="00A0139D" w:rsidRDefault="00FD4C24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12" w:name="_Toc468709042"/>
      <w:r w:rsidRPr="00A0139D">
        <w:rPr>
          <w:rFonts w:asciiTheme="minorHAnsi" w:hAnsiTheme="minorHAnsi"/>
          <w:lang w:val="en-US"/>
        </w:rPr>
        <w:lastRenderedPageBreak/>
        <w:t>A zajszint értékelési szempontként történ</w:t>
      </w:r>
      <w:r w:rsidRPr="00A0139D">
        <w:rPr>
          <w:rFonts w:asciiTheme="minorHAnsi" w:hAnsiTheme="minorHAnsi"/>
        </w:rPr>
        <w:t>ő szerepeltetése</w:t>
      </w:r>
      <w:bookmarkEnd w:id="12"/>
    </w:p>
    <w:p w:rsidR="001C7080" w:rsidRPr="00A0139D" w:rsidRDefault="001C7080" w:rsidP="001C7080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Calibri"/>
          <w:sz w:val="28"/>
          <w:szCs w:val="28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értékelési szempontok között megjelenik a szerelvényekben uralkodó zajszint mértéke. A</w:t>
      </w:r>
      <w:r w:rsidR="00461230" w:rsidRPr="00A0139D">
        <w:rPr>
          <w:rFonts w:asciiTheme="minorHAnsi" w:hAnsiTheme="minorHAnsi" w:cs="Calibri"/>
          <w:sz w:val="28"/>
          <w:szCs w:val="28"/>
          <w:lang w:val="en-US"/>
        </w:rPr>
        <w:t xml:space="preserve"> zajszint mérési módszerét oly</w:t>
      </w:r>
      <w:r w:rsidR="00FA0CCD">
        <w:rPr>
          <w:rFonts w:asciiTheme="minorHAnsi" w:hAnsiTheme="minorHAnsi" w:cs="Calibri"/>
          <w:sz w:val="28"/>
          <w:szCs w:val="28"/>
          <w:lang w:val="en-US"/>
        </w:rPr>
        <w:t xml:space="preserve"> módon határozta </w:t>
      </w:r>
      <w:proofErr w:type="gramStart"/>
      <w:r w:rsidR="00FA0CCD">
        <w:rPr>
          <w:rFonts w:asciiTheme="minorHAnsi" w:hAnsiTheme="minorHAnsi" w:cs="Calibri"/>
          <w:sz w:val="28"/>
          <w:szCs w:val="28"/>
          <w:lang w:val="en-US"/>
        </w:rPr>
        <w:t>meg</w:t>
      </w:r>
      <w:proofErr w:type="gramEnd"/>
      <w:r w:rsidR="00FA0CCD">
        <w:rPr>
          <w:rFonts w:asciiTheme="minorHAnsi" w:hAnsiTheme="minorHAnsi" w:cs="Calibri"/>
          <w:sz w:val="28"/>
          <w:szCs w:val="28"/>
          <w:lang w:val="en-US"/>
        </w:rPr>
        <w:t xml:space="preserve"> az 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jánlatkér</w:t>
      </w:r>
      <w:r w:rsidRPr="00A0139D">
        <w:rPr>
          <w:rFonts w:asciiTheme="minorHAnsi" w:hAnsiTheme="minorHAnsi" w:cs="Calibri"/>
          <w:sz w:val="28"/>
          <w:szCs w:val="28"/>
        </w:rPr>
        <w:t>ő, hogy 40 %-ban vette figyelembe a vezető fülke zajterhelését, míg az utastérben érzékelhető zajszint mértékét csak 60 %-ban vette figyelembe. Felmerül a kérdé</w:t>
      </w:r>
      <w:r w:rsidR="00FA0CCD">
        <w:rPr>
          <w:rFonts w:asciiTheme="minorHAnsi" w:hAnsiTheme="minorHAnsi" w:cs="Calibri"/>
          <w:sz w:val="28"/>
          <w:szCs w:val="28"/>
        </w:rPr>
        <w:t>s, hogy miért tulajdonított az A</w:t>
      </w:r>
      <w:r w:rsidRPr="00A0139D">
        <w:rPr>
          <w:rFonts w:asciiTheme="minorHAnsi" w:hAnsiTheme="minorHAnsi" w:cs="Calibri"/>
          <w:sz w:val="28"/>
          <w:szCs w:val="28"/>
        </w:rPr>
        <w:t>jánlatkérő ekkora jelentőséget a vezetőfülkében tapasztalható zajszintnek. A kérdés különösen annak ismeretében kérdőjelezi meg az értékelési módszer szakszerűségét, hogy a 4-es metró vezető nélkül</w:t>
      </w:r>
      <w:r w:rsidR="001308DF">
        <w:rPr>
          <w:rFonts w:asciiTheme="minorHAnsi" w:hAnsiTheme="minorHAnsi" w:cs="Calibri"/>
          <w:sz w:val="28"/>
          <w:szCs w:val="28"/>
        </w:rPr>
        <w:t>i közlekedésre tervezték</w:t>
      </w:r>
      <w:r w:rsidRPr="00A0139D">
        <w:rPr>
          <w:rFonts w:asciiTheme="minorHAnsi" w:hAnsiTheme="minorHAnsi" w:cs="Calibri"/>
          <w:sz w:val="28"/>
          <w:szCs w:val="28"/>
        </w:rPr>
        <w:t>,</w:t>
      </w:r>
      <w:r w:rsidR="001308DF">
        <w:rPr>
          <w:rFonts w:asciiTheme="minorHAnsi" w:hAnsiTheme="minorHAnsi" w:cs="Calibri"/>
          <w:sz w:val="28"/>
          <w:szCs w:val="28"/>
        </w:rPr>
        <w:t xml:space="preserve"> és ma már</w:t>
      </w:r>
      <w:r w:rsidRPr="00A0139D">
        <w:rPr>
          <w:rFonts w:asciiTheme="minorHAnsi" w:hAnsiTheme="minorHAnsi" w:cs="Calibri"/>
          <w:sz w:val="28"/>
          <w:szCs w:val="28"/>
        </w:rPr>
        <w:t xml:space="preserve"> a teljes metrószerelvényt az utasok használják.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13" w:name="_Toc468709043"/>
      <w:r w:rsidRPr="00A0139D">
        <w:rPr>
          <w:rFonts w:asciiTheme="minorHAnsi" w:hAnsiTheme="minorHAnsi"/>
          <w:lang w:val="en-US"/>
        </w:rPr>
        <w:t>A közbeszerzési kiírás és a megkötött szerz</w:t>
      </w:r>
      <w:r w:rsidRPr="00A0139D">
        <w:rPr>
          <w:rFonts w:asciiTheme="minorHAnsi" w:hAnsiTheme="minorHAnsi"/>
        </w:rPr>
        <w:t>ődés között</w:t>
      </w:r>
      <w:r w:rsidR="00461230" w:rsidRPr="00A0139D">
        <w:rPr>
          <w:rFonts w:asciiTheme="minorHAnsi" w:hAnsiTheme="minorHAnsi"/>
        </w:rPr>
        <w:t>i</w:t>
      </w:r>
      <w:r w:rsidRPr="00A0139D">
        <w:rPr>
          <w:rFonts w:asciiTheme="minorHAnsi" w:hAnsiTheme="minorHAnsi"/>
        </w:rPr>
        <w:t xml:space="preserve"> kapcsolat</w:t>
      </w:r>
      <w:bookmarkEnd w:id="13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</w:rPr>
      </w:pP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>Gazdaságilag indok</w:t>
      </w:r>
      <w:r w:rsidR="00603E34">
        <w:rPr>
          <w:rFonts w:asciiTheme="minorHAnsi" w:hAnsiTheme="minorHAnsi" w:cs="Calibri"/>
          <w:color w:val="000000"/>
          <w:sz w:val="28"/>
          <w:szCs w:val="28"/>
          <w:lang w:val="en-US"/>
        </w:rPr>
        <w:t>olatlan módon nem a beszerzési kiírásnak</w:t>
      </w:r>
      <w:r w:rsidRPr="00A0139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megfelel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>ő szerződ</w:t>
      </w:r>
      <w:r w:rsidR="00461230" w:rsidRPr="00A0139D">
        <w:rPr>
          <w:rFonts w:asciiTheme="minorHAnsi" w:hAnsiTheme="minorHAnsi" w:cs="Calibri"/>
          <w:color w:val="000000"/>
          <w:sz w:val="28"/>
          <w:szCs w:val="28"/>
        </w:rPr>
        <w:t xml:space="preserve">és </w:t>
      </w:r>
      <w:r w:rsidR="00603E34">
        <w:rPr>
          <w:rFonts w:asciiTheme="minorHAnsi" w:hAnsiTheme="minorHAnsi" w:cs="Calibri"/>
          <w:color w:val="000000"/>
          <w:sz w:val="28"/>
          <w:szCs w:val="28"/>
        </w:rPr>
        <w:t>került megkötésre</w:t>
      </w:r>
      <w:r w:rsidR="00461230" w:rsidRPr="00A0139D">
        <w:rPr>
          <w:rFonts w:asciiTheme="minorHAnsi" w:hAnsiTheme="minorHAnsi" w:cs="Calibri"/>
          <w:color w:val="000000"/>
          <w:sz w:val="28"/>
          <w:szCs w:val="28"/>
        </w:rPr>
        <w:t xml:space="preserve">, amely mind </w:t>
      </w:r>
      <w:proofErr w:type="gramStart"/>
      <w:r w:rsidR="00461230" w:rsidRPr="00A0139D">
        <w:rPr>
          <w:rFonts w:asciiTheme="minorHAnsi" w:hAnsiTheme="minorHAnsi" w:cs="Calibri"/>
          <w:color w:val="000000"/>
          <w:sz w:val="28"/>
          <w:szCs w:val="28"/>
        </w:rPr>
        <w:t>a</w:t>
      </w:r>
      <w:proofErr w:type="gramEnd"/>
      <w:r w:rsidR="00461230" w:rsidRPr="00A0139D">
        <w:rPr>
          <w:rFonts w:asciiTheme="minorHAnsi" w:hAnsiTheme="minorHAnsi" w:cs="Calibri"/>
          <w:color w:val="000000"/>
          <w:sz w:val="28"/>
          <w:szCs w:val="28"/>
        </w:rPr>
        <w:t xml:space="preserve"> Fővárosnak, mind a Magyar Á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 xml:space="preserve">llamnak </w:t>
      </w:r>
      <w:r w:rsidR="00603E34">
        <w:rPr>
          <w:rFonts w:asciiTheme="minorHAnsi" w:hAnsiTheme="minorHAnsi" w:cs="Calibri"/>
          <w:color w:val="000000"/>
          <w:sz w:val="28"/>
          <w:szCs w:val="28"/>
        </w:rPr>
        <w:t xml:space="preserve">valószínűsíthetően </w:t>
      </w:r>
      <w:r w:rsidRPr="00A0139D">
        <w:rPr>
          <w:rFonts w:asciiTheme="minorHAnsi" w:hAnsiTheme="minorHAnsi" w:cs="Calibri"/>
          <w:color w:val="000000"/>
          <w:sz w:val="28"/>
          <w:szCs w:val="28"/>
        </w:rPr>
        <w:t>különösen jelentős vagyoni hátrányt okozott.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  <w:lang w:val="en-US"/>
        </w:rPr>
      </w:pPr>
      <w:bookmarkStart w:id="14" w:name="_Toc468709044"/>
      <w:r w:rsidRPr="00A0139D">
        <w:rPr>
          <w:rFonts w:asciiTheme="minorHAnsi" w:hAnsiTheme="minorHAnsi"/>
          <w:lang w:val="en-US"/>
        </w:rPr>
        <w:t>Vis major feltételek meghatározása</w:t>
      </w:r>
      <w:bookmarkEnd w:id="14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r w:rsidR="00D21CF1">
        <w:rPr>
          <w:rFonts w:asciiTheme="minorHAnsi" w:hAnsiTheme="minorHAnsi" w:cs="Calibri"/>
          <w:sz w:val="28"/>
          <w:szCs w:val="28"/>
          <w:lang w:val="en-US"/>
        </w:rPr>
        <w:t xml:space="preserve"> bizottság álláspontja szerint a szerződés ezen feltétele azt a látszatot keltheti, hogy 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BKV Zrt. </w:t>
      </w:r>
      <w:r w:rsidR="00461230" w:rsidRPr="00A0139D">
        <w:rPr>
          <w:rFonts w:asciiTheme="minorHAnsi" w:hAnsiTheme="minorHAnsi" w:cs="Calibri"/>
          <w:sz w:val="28"/>
          <w:szCs w:val="28"/>
          <w:lang w:val="en-US"/>
        </w:rPr>
        <w:t>érthetetlen</w:t>
      </w:r>
      <w:r w:rsidR="001308DF">
        <w:rPr>
          <w:rFonts w:asciiTheme="minorHAnsi" w:hAnsiTheme="minorHAnsi" w:cs="Calibri"/>
          <w:sz w:val="28"/>
          <w:szCs w:val="28"/>
          <w:lang w:val="en-US"/>
        </w:rPr>
        <w:t xml:space="preserve"> módon</w:t>
      </w:r>
      <w:r w:rsidR="00461230"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magára vállalta azt a kockázatot, hogy ha a gyártó nem tudja megszerezni a hatóságtól a szükséges típusengedélyt a szerelvényekre, akkor is ki kell fizetni a megrendel</w:t>
      </w:r>
      <w:r w:rsidRPr="00A0139D">
        <w:rPr>
          <w:rFonts w:asciiTheme="minorHAnsi" w:hAnsiTheme="minorHAnsi" w:cs="Calibri"/>
          <w:sz w:val="28"/>
          <w:szCs w:val="28"/>
        </w:rPr>
        <w:t>őnek a kocsikat, annak ellenére, hogy azt nem tudja használatba venni.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15" w:name="_Toc468709045"/>
      <w:r w:rsidRPr="00A0139D">
        <w:rPr>
          <w:rFonts w:asciiTheme="minorHAnsi" w:hAnsiTheme="minorHAnsi"/>
          <w:lang w:val="en-US"/>
        </w:rPr>
        <w:t>Szerz</w:t>
      </w:r>
      <w:r w:rsidRPr="00A0139D">
        <w:rPr>
          <w:rFonts w:asciiTheme="minorHAnsi" w:hAnsiTheme="minorHAnsi"/>
        </w:rPr>
        <w:t>ődéses előleg kifizetése</w:t>
      </w:r>
      <w:bookmarkEnd w:id="15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Vélelmezhet</w:t>
      </w:r>
      <w:r w:rsidRPr="00A0139D">
        <w:rPr>
          <w:rFonts w:asciiTheme="minorHAnsi" w:hAnsiTheme="minorHAnsi" w:cs="Calibri"/>
          <w:sz w:val="28"/>
          <w:szCs w:val="28"/>
        </w:rPr>
        <w:t xml:space="preserve">ően nem csak jogszerűtlen volt a szerződéses előleg 25%-ról 50%-ra történtő megemelése, hanem </w:t>
      </w:r>
      <w:proofErr w:type="gramStart"/>
      <w:r w:rsidR="005C6873">
        <w:rPr>
          <w:rFonts w:asciiTheme="minorHAnsi" w:hAnsiTheme="minorHAnsi" w:cs="Calibri"/>
          <w:sz w:val="28"/>
          <w:szCs w:val="28"/>
        </w:rPr>
        <w:t>az</w:t>
      </w:r>
      <w:proofErr w:type="gramEnd"/>
      <w:r w:rsidR="005C6873">
        <w:rPr>
          <w:rFonts w:asciiTheme="minorHAnsi" w:hAnsiTheme="minorHAnsi" w:cs="Calibri"/>
          <w:sz w:val="28"/>
          <w:szCs w:val="28"/>
        </w:rPr>
        <w:t xml:space="preserve"> </w:t>
      </w:r>
      <w:r w:rsidRPr="00A0139D">
        <w:rPr>
          <w:rFonts w:asciiTheme="minorHAnsi" w:hAnsiTheme="minorHAnsi" w:cs="Calibri"/>
          <w:sz w:val="28"/>
          <w:szCs w:val="28"/>
        </w:rPr>
        <w:t>jelentős vagyoni hátrányt is okozott a beszerzőnek. A kiemelkedően magas előleg megfizetése ugyanis nem állt összhangban a teljesítéssel, továbbá a kifizetéssel 107 millió euró kamatozott az Alstom számláján éveken keresztül.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</w:rPr>
      </w:pPr>
      <w:bookmarkStart w:id="16" w:name="_Toc468709046"/>
      <w:r w:rsidRPr="00A0139D">
        <w:rPr>
          <w:rFonts w:asciiTheme="minorHAnsi" w:hAnsiTheme="minorHAnsi"/>
        </w:rPr>
        <w:t>A bankgarancia és joghatóság kikötése, kötbér</w:t>
      </w:r>
      <w:bookmarkEnd w:id="16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Indokolatlan módon a beszerz</w:t>
      </w:r>
      <w:r w:rsidRPr="00A0139D">
        <w:rPr>
          <w:rFonts w:asciiTheme="minorHAnsi" w:hAnsiTheme="minorHAnsi" w:cs="Calibri"/>
          <w:sz w:val="28"/>
          <w:szCs w:val="28"/>
        </w:rPr>
        <w:t xml:space="preserve">ő hozzájárult ahhoz, hogy </w:t>
      </w:r>
      <w:proofErr w:type="gramStart"/>
      <w:r w:rsidRPr="00A0139D">
        <w:rPr>
          <w:rFonts w:asciiTheme="minorHAnsi" w:hAnsiTheme="minorHAnsi" w:cs="Calibri"/>
          <w:sz w:val="28"/>
          <w:szCs w:val="28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előlegek visszafizetését és az egyébként is alacsony összegben meghatározott kötbér megfizetését biztosító </w:t>
      </w:r>
      <w:r w:rsidRPr="00A0139D">
        <w:rPr>
          <w:rFonts w:asciiTheme="minorHAnsi" w:hAnsiTheme="minorHAnsi" w:cs="Calibri"/>
          <w:sz w:val="28"/>
          <w:szCs w:val="28"/>
        </w:rPr>
        <w:lastRenderedPageBreak/>
        <w:t>bankgaranciákat ne magyar bank biztosítsa, és emellett nem kötötték ki magyar bíróság joghatóságát a bankgaranciához kötődően.</w:t>
      </w:r>
      <w:r w:rsidR="000A21AD" w:rsidRPr="00A0139D">
        <w:rPr>
          <w:rFonts w:asciiTheme="minorHAnsi" w:hAnsiTheme="minorHAnsi" w:cs="Calibri"/>
          <w:sz w:val="28"/>
          <w:szCs w:val="28"/>
        </w:rPr>
        <w:t xml:space="preserve"> </w:t>
      </w:r>
      <w:r w:rsidR="005C7B5C" w:rsidRPr="00A0139D">
        <w:rPr>
          <w:rFonts w:asciiTheme="minorHAnsi" w:hAnsiTheme="minorHAnsi" w:cs="Calibri"/>
          <w:sz w:val="28"/>
          <w:szCs w:val="28"/>
        </w:rPr>
        <w:t xml:space="preserve">Mindez alapján a szerződésbe volt kódolva, hogy bármilyen jogvita esetén, ahol magyar-francia ellenérdekelt felek vannak, </w:t>
      </w:r>
      <w:r w:rsidR="00C61632" w:rsidRPr="00A0139D">
        <w:rPr>
          <w:rFonts w:asciiTheme="minorHAnsi" w:hAnsiTheme="minorHAnsi" w:cs="Calibri"/>
          <w:sz w:val="28"/>
          <w:szCs w:val="28"/>
        </w:rPr>
        <w:t>a magyar közpénzek felhasználása kapcsán nem magyar bíróság dönt, hanem francia.</w:t>
      </w:r>
    </w:p>
    <w:p w:rsidR="00C61632" w:rsidRPr="00A0139D" w:rsidRDefault="00C6163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</w:rPr>
        <w:t>A szerződés felmondásakor ez a helyzet elő is állt, azonban a magyar fél Franciaországban pert tudott nyerni a francia céggel szemben.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:rsidR="001C7080" w:rsidRPr="00A0139D" w:rsidRDefault="001C7080" w:rsidP="00C6298D">
      <w:pPr>
        <w:pStyle w:val="Cmsor3"/>
        <w:numPr>
          <w:ilvl w:val="1"/>
          <w:numId w:val="10"/>
        </w:numPr>
        <w:rPr>
          <w:rFonts w:asciiTheme="minorHAnsi" w:hAnsiTheme="minorHAnsi"/>
          <w:lang w:val="en-US"/>
        </w:rPr>
      </w:pPr>
      <w:bookmarkStart w:id="17" w:name="_Toc468709047"/>
      <w:r w:rsidRPr="00A0139D">
        <w:rPr>
          <w:rFonts w:asciiTheme="minorHAnsi" w:hAnsiTheme="minorHAnsi"/>
          <w:lang w:val="en-US"/>
        </w:rPr>
        <w:t>A közbeszerzés elnyerése</w:t>
      </w:r>
      <w:bookmarkEnd w:id="17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kiírásának és lebonyolításának következményeként</w:t>
      </w:r>
      <w:r w:rsidR="005F56D0" w:rsidRPr="00A0139D">
        <w:rPr>
          <w:rFonts w:asciiTheme="minorHAnsi" w:hAnsiTheme="minorHAnsi" w:cs="Calibri"/>
          <w:sz w:val="28"/>
          <w:szCs w:val="28"/>
          <w:lang w:val="en-US"/>
        </w:rPr>
        <w:t>, –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miszerint a beszerzési ár a teljes értékelésnek az 50%-át nem éri el,</w:t>
      </w:r>
      <w:r w:rsidR="005F56D0" w:rsidRPr="00A0139D">
        <w:rPr>
          <w:rFonts w:asciiTheme="minorHAnsi" w:hAnsiTheme="minorHAnsi" w:cs="Calibri"/>
          <w:sz w:val="28"/>
          <w:szCs w:val="28"/>
          <w:lang w:val="en-US"/>
        </w:rPr>
        <w:t xml:space="preserve"> –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 metrószer</w:t>
      </w:r>
      <w:r w:rsidR="00B5602E">
        <w:rPr>
          <w:rFonts w:asciiTheme="minorHAnsi" w:hAnsiTheme="minorHAnsi" w:cs="Calibri"/>
          <w:sz w:val="28"/>
          <w:szCs w:val="28"/>
          <w:lang w:val="en-US"/>
        </w:rPr>
        <w:t>e</w:t>
      </w:r>
      <w:r w:rsidR="005E6674">
        <w:rPr>
          <w:rFonts w:asciiTheme="minorHAnsi" w:hAnsiTheme="minorHAnsi" w:cs="Calibri"/>
          <w:sz w:val="28"/>
          <w:szCs w:val="28"/>
          <w:lang w:val="en-US"/>
        </w:rPr>
        <w:t>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vények gyártását és leszállítását </w:t>
      </w:r>
      <w:r w:rsidR="00F8392B">
        <w:rPr>
          <w:rFonts w:asciiTheme="minorHAnsi" w:hAnsiTheme="minorHAnsi" w:cs="Calibri"/>
          <w:sz w:val="28"/>
          <w:szCs w:val="28"/>
          <w:lang w:val="en-US"/>
        </w:rPr>
        <w:t>nem a legelőnyösebb ajánlat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nyerte el.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FD4C24" w:rsidRPr="00A0139D" w:rsidRDefault="00FD4C24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/>
          <w:iCs/>
          <w:sz w:val="32"/>
          <w:szCs w:val="32"/>
          <w:lang w:val="en-US"/>
        </w:rPr>
      </w:pPr>
    </w:p>
    <w:p w:rsidR="001C7080" w:rsidRPr="00A0139D" w:rsidRDefault="001C7080" w:rsidP="00C6298D">
      <w:pPr>
        <w:pStyle w:val="Cmsor1"/>
        <w:numPr>
          <w:ilvl w:val="0"/>
          <w:numId w:val="6"/>
        </w:numPr>
        <w:rPr>
          <w:sz w:val="28"/>
          <w:lang w:val="en-US"/>
        </w:rPr>
      </w:pPr>
      <w:bookmarkStart w:id="18" w:name="_Toc468709048"/>
      <w:r w:rsidRPr="00A0139D">
        <w:rPr>
          <w:lang w:val="en-US"/>
        </w:rPr>
        <w:t xml:space="preserve">A </w:t>
      </w:r>
      <w:r w:rsidR="00C547D0" w:rsidRPr="00A0139D">
        <w:rPr>
          <w:lang w:val="en-US"/>
        </w:rPr>
        <w:t>KÖZBESZERZÉS PARAMÉTEREINEK, ÉRTÉKELÉSÉNEK KIALAKÍTÁSA</w:t>
      </w:r>
      <w:bookmarkEnd w:id="18"/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közbeszerzés értékelésénél 11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f</w:t>
      </w:r>
      <w:r w:rsidRPr="00A0139D">
        <w:rPr>
          <w:rFonts w:asciiTheme="minorHAnsi" w:hAnsiTheme="minorHAnsi" w:cs="Calibri"/>
          <w:sz w:val="28"/>
          <w:szCs w:val="28"/>
        </w:rPr>
        <w:t>ő</w:t>
      </w:r>
      <w:proofErr w:type="gramEnd"/>
      <w:r w:rsidRPr="00A0139D">
        <w:rPr>
          <w:rFonts w:asciiTheme="minorHAnsi" w:hAnsiTheme="minorHAnsi" w:cs="Calibri"/>
          <w:sz w:val="28"/>
          <w:szCs w:val="28"/>
        </w:rPr>
        <w:t xml:space="preserve"> paramétert értékeltek, amelyek az alábbiak voltak: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1. Ajánlati ár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2. Karbantartási költség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3. Vontatási energiaigény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4. Befogadóképesség (fér</w:t>
      </w:r>
      <w:r w:rsidRPr="00A0139D">
        <w:rPr>
          <w:rFonts w:asciiTheme="minorHAnsi" w:hAnsiTheme="minorHAnsi" w:cs="Calibri"/>
          <w:sz w:val="28"/>
          <w:szCs w:val="28"/>
        </w:rPr>
        <w:t>őhely)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5. Esztétikai és funkcionális tulajdonságok</w:t>
      </w:r>
    </w:p>
    <w:p w:rsidR="001C7080" w:rsidRPr="00A0139D" w:rsidRDefault="00EF7EA5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5.1 Utastér beépített anyagainak vandálállósága</w:t>
      </w:r>
    </w:p>
    <w:p w:rsidR="00EF7EA5" w:rsidRPr="00A0139D" w:rsidRDefault="00EF7EA5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5.2 Tisztíthatóság</w:t>
      </w:r>
    </w:p>
    <w:p w:rsidR="00EF7EA5" w:rsidRPr="00A0139D" w:rsidRDefault="00EF7EA5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5.3</w:t>
      </w:r>
      <w:r w:rsidR="000F0922" w:rsidRPr="00A0139D">
        <w:rPr>
          <w:rFonts w:asciiTheme="minorHAnsi" w:hAnsiTheme="minorHAnsi" w:cs="Calibri"/>
          <w:sz w:val="28"/>
          <w:szCs w:val="28"/>
          <w:lang w:val="en-US"/>
        </w:rPr>
        <w:t xml:space="preserve"> Esztétikai megjelenés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5.4 Utaskomfort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6. Zajszint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ab/>
        <w:t>6.1 Jármű zajkibocsátás felszíni pályán mérve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6.2 Jármű belső zajszintje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7. Járműdiagnosztika kezelhetősége, adatok felhasználhatósága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8. Egy ajtószárnyra jutó utasterhelés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9. Szerelvényen belüli közlekedő középfolyosó szélessége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10. Tengelyterhelés</w:t>
      </w:r>
    </w:p>
    <w:p w:rsidR="000F0922" w:rsidRPr="00A0139D" w:rsidRDefault="000F092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11. Járműszerelvény szét és összekapcsolhatósága</w:t>
      </w:r>
    </w:p>
    <w:p w:rsidR="00087A0A" w:rsidRPr="00A0139D" w:rsidRDefault="00087A0A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087A0A" w:rsidRPr="00B5602E" w:rsidRDefault="00087A0A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  <w:lang w:val="en-US"/>
        </w:rPr>
      </w:pPr>
      <w:proofErr w:type="gramStart"/>
      <w:r w:rsidRPr="00B5602E">
        <w:rPr>
          <w:rFonts w:asciiTheme="minorHAnsi" w:hAnsiTheme="minorHAnsi" w:cs="Calibri"/>
          <w:b/>
          <w:sz w:val="28"/>
          <w:szCs w:val="28"/>
          <w:lang w:val="en-US"/>
        </w:rPr>
        <w:t>Az</w:t>
      </w:r>
      <w:proofErr w:type="gramEnd"/>
      <w:r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 ajánlati ár és a karbantartási költség vonatkozásában </w:t>
      </w:r>
      <w:r w:rsidR="002328CC" w:rsidRPr="00B5602E">
        <w:rPr>
          <w:rFonts w:asciiTheme="minorHAnsi" w:hAnsiTheme="minorHAnsi" w:cs="Calibri"/>
          <w:b/>
          <w:sz w:val="28"/>
          <w:szCs w:val="28"/>
          <w:lang w:val="en-US"/>
        </w:rPr>
        <w:t>koránt</w:t>
      </w:r>
      <w:r w:rsidR="00F472CD"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sem </w:t>
      </w:r>
      <w:r w:rsidR="005C6873">
        <w:rPr>
          <w:rFonts w:asciiTheme="minorHAnsi" w:hAnsiTheme="minorHAnsi" w:cs="Calibri"/>
          <w:b/>
          <w:sz w:val="28"/>
          <w:szCs w:val="28"/>
          <w:lang w:val="en-US"/>
        </w:rPr>
        <w:t>az Alstom ajánlata volt</w:t>
      </w:r>
      <w:r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 a legkedvezőbb. </w:t>
      </w:r>
    </w:p>
    <w:p w:rsidR="00156007" w:rsidRPr="00A0139D" w:rsidRDefault="00156007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befogadóképesség tekintetében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Alstom elérte a 2.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helyezettel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szemben a maximális pontszámot, amely a súlyozott pontoknál már jelentős előnyt jelentett</w:t>
      </w:r>
      <w:r w:rsidR="00E037B9">
        <w:rPr>
          <w:rFonts w:asciiTheme="minorHAnsi" w:hAnsiTheme="minorHAnsi" w:cs="Calibri"/>
          <w:sz w:val="28"/>
          <w:szCs w:val="28"/>
          <w:lang w:val="en-US"/>
        </w:rPr>
        <w:t xml:space="preserve"> számára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M2-es szerelvényeknél a maximum pontot 1022 férőhelytől lehetett megszerezni, i</w:t>
      </w:r>
      <w:r w:rsidR="000978BA" w:rsidRPr="00A0139D">
        <w:rPr>
          <w:rFonts w:asciiTheme="minorHAnsi" w:hAnsiTheme="minorHAnsi" w:cs="Calibri"/>
          <w:sz w:val="28"/>
          <w:szCs w:val="28"/>
          <w:lang w:val="en-US"/>
        </w:rPr>
        <w:t>tt az Alstom 1023-as férőhely számmal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szerzett maximális pontot, míg az M4-es szerelvények tekintetében a 805 férőhely feletti maxi</w:t>
      </w:r>
      <w:r w:rsidR="00480109" w:rsidRPr="00A0139D">
        <w:rPr>
          <w:rFonts w:asciiTheme="minorHAnsi" w:hAnsiTheme="minorHAnsi" w:cs="Calibri"/>
          <w:sz w:val="28"/>
          <w:szCs w:val="28"/>
          <w:lang w:val="en-US"/>
        </w:rPr>
        <w:t>mális pontszámot 807 férőhellyel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szerezték meg.</w:t>
      </w:r>
    </w:p>
    <w:p w:rsidR="00156007" w:rsidRPr="00A0139D" w:rsidRDefault="00156007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esztétitikai és funkcionális tulajdonságok tekintetében, amelyek szubjektív érté</w:t>
      </w:r>
      <w:r w:rsidR="002328CC" w:rsidRPr="00A0139D">
        <w:rPr>
          <w:rFonts w:asciiTheme="minorHAnsi" w:hAnsiTheme="minorHAnsi" w:cs="Calibri"/>
          <w:sz w:val="28"/>
          <w:szCs w:val="28"/>
          <w:lang w:val="en-US"/>
        </w:rPr>
        <w:t>kelési szempontok voltak, az Al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stom végig a maximális pontszámot szerezte me</w:t>
      </w:r>
      <w:r w:rsidR="002328CC" w:rsidRPr="00A0139D">
        <w:rPr>
          <w:rFonts w:asciiTheme="minorHAnsi" w:hAnsiTheme="minorHAnsi" w:cs="Calibri"/>
          <w:sz w:val="28"/>
          <w:szCs w:val="28"/>
          <w:lang w:val="en-US"/>
        </w:rPr>
        <w:t xml:space="preserve">g a 2. </w:t>
      </w:r>
      <w:proofErr w:type="gramStart"/>
      <w:r w:rsidR="002328CC" w:rsidRPr="00A0139D">
        <w:rPr>
          <w:rFonts w:asciiTheme="minorHAnsi" w:hAnsiTheme="minorHAnsi" w:cs="Calibri"/>
          <w:sz w:val="28"/>
          <w:szCs w:val="28"/>
          <w:lang w:val="en-US"/>
        </w:rPr>
        <w:t>helyezettel</w:t>
      </w:r>
      <w:proofErr w:type="gramEnd"/>
      <w:r w:rsidR="002328CC" w:rsidRPr="00A0139D">
        <w:rPr>
          <w:rFonts w:asciiTheme="minorHAnsi" w:hAnsiTheme="minorHAnsi" w:cs="Calibri"/>
          <w:sz w:val="28"/>
          <w:szCs w:val="28"/>
          <w:lang w:val="en-US"/>
        </w:rPr>
        <w:t xml:space="preserve"> szemben, amel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y szintén a súlyozott pontkiosztásban további többletként jelentkezett.</w:t>
      </w:r>
    </w:p>
    <w:p w:rsidR="00156007" w:rsidRPr="00A0139D" w:rsidRDefault="00156007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szerelvények fontos műszaki paraméterei tekintetében, és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arra adható pontok és súlyozott pontok szerint a tender megnyerését eredményezhette az Alstom számára, miszerint az M2-esnél és az M4-esnél egyeránt az egy ajtószárnyra jutó utasterhelés alapján 6-7 fős különbség jelentkezett. Valamint a szerelvényen belüli közlekedő középfolyosó szélessé</w:t>
      </w:r>
      <w:r w:rsidR="007E396C" w:rsidRPr="00A0139D">
        <w:rPr>
          <w:rFonts w:asciiTheme="minorHAnsi" w:hAnsiTheme="minorHAnsi" w:cs="Calibri"/>
          <w:sz w:val="28"/>
          <w:szCs w:val="28"/>
          <w:lang w:val="en-US"/>
        </w:rPr>
        <w:t xml:space="preserve">gét számítva </w:t>
      </w:r>
      <w:proofErr w:type="gramStart"/>
      <w:r w:rsidR="007E396C"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="007E396C" w:rsidRPr="00A0139D">
        <w:rPr>
          <w:rFonts w:asciiTheme="minorHAnsi" w:hAnsiTheme="minorHAnsi" w:cs="Calibri"/>
          <w:sz w:val="28"/>
          <w:szCs w:val="28"/>
          <w:lang w:val="en-US"/>
        </w:rPr>
        <w:t xml:space="preserve"> Alstom 15</w:t>
      </w:r>
      <w:r w:rsidR="00BB1FED" w:rsidRPr="00A0139D">
        <w:rPr>
          <w:rFonts w:asciiTheme="minorHAnsi" w:hAnsiTheme="minorHAnsi" w:cs="Calibri"/>
          <w:sz w:val="28"/>
          <w:szCs w:val="28"/>
          <w:lang w:val="en-US"/>
        </w:rPr>
        <w:t>8 mm-el</w:t>
      </w:r>
      <w:r w:rsidR="00C61632" w:rsidRPr="00A0139D">
        <w:rPr>
          <w:rFonts w:asciiTheme="minorHAnsi" w:hAnsiTheme="minorHAnsi" w:cs="Calibri"/>
          <w:sz w:val="28"/>
          <w:szCs w:val="28"/>
          <w:lang w:val="en-US"/>
        </w:rPr>
        <w:t>, azaz kevesebb mint 16 cm-rel</w:t>
      </w:r>
      <w:r w:rsidR="00BB1FED" w:rsidRPr="00A0139D">
        <w:rPr>
          <w:rFonts w:asciiTheme="minorHAnsi" w:hAnsiTheme="minorHAnsi" w:cs="Calibri"/>
          <w:sz w:val="28"/>
          <w:szCs w:val="28"/>
          <w:lang w:val="en-US"/>
        </w:rPr>
        <w:t xml:space="preserve"> szélesebb folyosója is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többlete</w:t>
      </w:r>
      <w:r w:rsidR="00BB1FED" w:rsidRPr="00A0139D">
        <w:rPr>
          <w:rFonts w:asciiTheme="minorHAnsi" w:hAnsiTheme="minorHAnsi" w:cs="Calibri"/>
          <w:sz w:val="28"/>
          <w:szCs w:val="28"/>
          <w:lang w:val="en-US"/>
        </w:rPr>
        <w:t>t jelentett</w:t>
      </w:r>
      <w:r w:rsidR="005B71D6" w:rsidRPr="00A0139D">
        <w:rPr>
          <w:rFonts w:asciiTheme="minorHAnsi" w:hAnsiTheme="minorHAnsi" w:cs="Calibri"/>
          <w:sz w:val="28"/>
          <w:szCs w:val="28"/>
          <w:lang w:val="en-US"/>
        </w:rPr>
        <w:t>.</w:t>
      </w:r>
      <w:r w:rsidR="00C61632" w:rsidRPr="00A0139D">
        <w:rPr>
          <w:rFonts w:asciiTheme="minorHAnsi" w:hAnsiTheme="minorHAnsi" w:cs="Calibri"/>
          <w:sz w:val="28"/>
          <w:szCs w:val="28"/>
          <w:lang w:val="en-US"/>
        </w:rPr>
        <w:t xml:space="preserve"> Leegyszerűsítve </w:t>
      </w:r>
      <w:proofErr w:type="gramStart"/>
      <w:r w:rsidR="00C61632" w:rsidRPr="00A0139D">
        <w:rPr>
          <w:rFonts w:asciiTheme="minorHAnsi" w:hAnsiTheme="minorHAnsi" w:cs="Calibri"/>
          <w:sz w:val="28"/>
          <w:szCs w:val="28"/>
          <w:lang w:val="en-US"/>
        </w:rPr>
        <w:t>azt</w:t>
      </w:r>
      <w:proofErr w:type="gramEnd"/>
      <w:r w:rsidR="00C61632" w:rsidRPr="00A0139D">
        <w:rPr>
          <w:rFonts w:asciiTheme="minorHAnsi" w:hAnsiTheme="minorHAnsi" w:cs="Calibri"/>
          <w:sz w:val="28"/>
          <w:szCs w:val="28"/>
          <w:lang w:val="en-US"/>
        </w:rPr>
        <w:t xml:space="preserve"> is mondhatjuk, hogy azért nyert egy több millió euróval drágább ajánlat a tenderen, mert a győztes szerelvény minimálisan szélesebb, és kevesebb fel –és leszálló utas jut egy ajtóra.</w:t>
      </w:r>
    </w:p>
    <w:p w:rsidR="005B71D6" w:rsidRPr="00B5602E" w:rsidRDefault="005B71D6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</w:rPr>
      </w:pPr>
      <w:r w:rsidRPr="00B5602E">
        <w:rPr>
          <w:rFonts w:asciiTheme="minorHAnsi" w:hAnsiTheme="minorHAnsi" w:cs="Calibri"/>
          <w:b/>
          <w:sz w:val="28"/>
          <w:szCs w:val="28"/>
          <w:lang w:val="en-US"/>
        </w:rPr>
        <w:lastRenderedPageBreak/>
        <w:t>A fentiek alapján úgy tűnik, hogy a tender pontrendszerében a műszaki tulajdonságok alapján a maximális pontszámot kizáró</w:t>
      </w:r>
      <w:r w:rsidR="00BB1FED"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lag </w:t>
      </w:r>
      <w:proofErr w:type="gramStart"/>
      <w:r w:rsidR="00BB1FED" w:rsidRPr="00B5602E">
        <w:rPr>
          <w:rFonts w:asciiTheme="minorHAnsi" w:hAnsiTheme="minorHAnsi" w:cs="Calibri"/>
          <w:b/>
          <w:sz w:val="28"/>
          <w:szCs w:val="28"/>
          <w:lang w:val="en-US"/>
        </w:rPr>
        <w:t>az</w:t>
      </w:r>
      <w:proofErr w:type="gramEnd"/>
      <w:r w:rsidR="00BB1FED"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 Alstom gyártmányú szerelv</w:t>
      </w:r>
      <w:r w:rsidRPr="00B5602E">
        <w:rPr>
          <w:rFonts w:asciiTheme="minorHAnsi" w:hAnsiTheme="minorHAnsi" w:cs="Calibri"/>
          <w:b/>
          <w:sz w:val="28"/>
          <w:szCs w:val="28"/>
          <w:lang w:val="en-US"/>
        </w:rPr>
        <w:t xml:space="preserve">ények kaphatták, a maximálisan kapható pontszámok </w:t>
      </w:r>
      <w:r w:rsidR="00B5602E">
        <w:rPr>
          <w:rFonts w:asciiTheme="minorHAnsi" w:hAnsiTheme="minorHAnsi" w:cs="Calibri"/>
          <w:b/>
          <w:sz w:val="28"/>
          <w:szCs w:val="28"/>
          <w:lang w:val="en-US"/>
        </w:rPr>
        <w:t>érték</w:t>
      </w:r>
      <w:r w:rsidRPr="00B5602E">
        <w:rPr>
          <w:rFonts w:asciiTheme="minorHAnsi" w:hAnsiTheme="minorHAnsi" w:cs="Calibri"/>
          <w:b/>
          <w:sz w:val="28"/>
          <w:szCs w:val="28"/>
          <w:lang w:val="en-US"/>
        </w:rPr>
        <w:t>határát éppen átlépve.</w:t>
      </w:r>
    </w:p>
    <w:p w:rsidR="001C7080" w:rsidRPr="00A0139D" w:rsidRDefault="00BB1FED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eredményhi</w:t>
      </w:r>
      <w:r w:rsidR="00F472CD" w:rsidRPr="00A0139D">
        <w:rPr>
          <w:rFonts w:asciiTheme="minorHAnsi" w:hAnsiTheme="minorHAnsi" w:cs="Calibri"/>
          <w:sz w:val="28"/>
          <w:szCs w:val="28"/>
          <w:lang w:val="en-US"/>
        </w:rPr>
        <w:t>rdetés ere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d</w:t>
      </w:r>
      <w:r w:rsidR="00F472CD" w:rsidRPr="00A0139D">
        <w:rPr>
          <w:rFonts w:asciiTheme="minorHAnsi" w:hAnsiTheme="minorHAnsi" w:cs="Calibri"/>
          <w:sz w:val="28"/>
          <w:szCs w:val="28"/>
          <w:lang w:val="en-US"/>
        </w:rPr>
        <w:t>ménye az első és második legtöbbet kapott pontszám alapján az alábbiak szerint alakult: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1.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helyezett</w:t>
      </w:r>
      <w:proofErr w:type="gramEnd"/>
      <w:r w:rsidR="00BB1FED" w:rsidRPr="00A0139D">
        <w:rPr>
          <w:rFonts w:asciiTheme="minorHAnsi" w:hAnsiTheme="minorHAnsi" w:cs="Calibri"/>
          <w:sz w:val="28"/>
          <w:szCs w:val="28"/>
          <w:lang w:val="en-US"/>
        </w:rPr>
        <w:t>: Budapest Metropolis Konzorcium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(Alstom)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2.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helyezett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: Metrowagonmash</w:t>
      </w:r>
    </w:p>
    <w:p w:rsidR="00F472CD" w:rsidRPr="00A0139D" w:rsidRDefault="00DE2499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Az Alstom összesítésben 905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,39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ponttal nyert a második helyezett 894,68 pontjával szemben.</w:t>
      </w:r>
    </w:p>
    <w:p w:rsidR="00F472CD" w:rsidRPr="00A0139D" w:rsidRDefault="00F472CD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b/>
          <w:sz w:val="28"/>
          <w:szCs w:val="28"/>
          <w:lang w:val="en-US"/>
        </w:rPr>
        <w:t xml:space="preserve">Fontos megjegyezni, hogy a tendert és a pontrendszert </w:t>
      </w:r>
      <w:proofErr w:type="gramStart"/>
      <w:r w:rsidRPr="00A0139D">
        <w:rPr>
          <w:rFonts w:asciiTheme="minorHAnsi" w:hAnsiTheme="minorHAnsi" w:cs="Calibri"/>
          <w:b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b/>
          <w:sz w:val="28"/>
          <w:szCs w:val="28"/>
          <w:lang w:val="en-US"/>
        </w:rPr>
        <w:t xml:space="preserve"> Eurometro Kft. tanácsadó cég dolgozta ki.</w:t>
      </w:r>
    </w:p>
    <w:p w:rsidR="001C7080" w:rsidRPr="00A0139D" w:rsidRDefault="001C7080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C61632" w:rsidRPr="00A0139D" w:rsidRDefault="00C61632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F9396C" w:rsidRPr="00A0139D" w:rsidRDefault="00F9396C" w:rsidP="00C6298D">
      <w:pPr>
        <w:pStyle w:val="Cmsor1"/>
        <w:numPr>
          <w:ilvl w:val="0"/>
          <w:numId w:val="6"/>
        </w:numPr>
        <w:rPr>
          <w:lang w:val="en-US"/>
        </w:rPr>
      </w:pPr>
      <w:bookmarkStart w:id="19" w:name="_Toc468709049"/>
      <w:r w:rsidRPr="00A0139D">
        <w:rPr>
          <w:lang w:val="en-US"/>
        </w:rPr>
        <w:t>BIZOTTSÁGI MEGHALLGATÁSOK</w:t>
      </w:r>
      <w:bookmarkEnd w:id="19"/>
    </w:p>
    <w:p w:rsidR="00CE0407" w:rsidRPr="00A0139D" w:rsidRDefault="00CE0407" w:rsidP="001C70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bizottsági meghallgatások során többször is kiemelték a szakértők, hogy a közbeszerzés értékelésénél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 tény, hogy az ajánlati ár a szempontrendszerben kevesebb mint 50%-os tényezőként szerepel, 2006-ban kirívóan szokatlan eljárás volt. </w:t>
      </w:r>
    </w:p>
    <w:p w:rsidR="001C7080" w:rsidRPr="00A0139D" w:rsidRDefault="00903A26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="00CE0407"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során a szubjektív értékelési szempontok nem számítottak elfogadott szempontnak, és azóta sem azok.</w:t>
      </w:r>
    </w:p>
    <w:p w:rsidR="006C7E1B" w:rsidRPr="00A0139D" w:rsidRDefault="006C7E1B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lefolytatását a BKV Zrt. végezte. A jelenleg még ott dolgozó kollégák visszaemlékezése szerint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Alstom komoly nyomást gyakorolt a beszerzőre, valamint folyamatosan éreztette “helyzeti előnyét”.</w:t>
      </w:r>
    </w:p>
    <w:p w:rsidR="006C7E1B" w:rsidRPr="00A0139D" w:rsidRDefault="006C7E1B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6C7E1B" w:rsidRPr="00A0139D" w:rsidRDefault="006C7E1B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  <w:u w:val="single"/>
          <w:lang w:val="en-US"/>
        </w:rPr>
      </w:pPr>
      <w:r w:rsidRPr="00A0139D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Aba Botond</w:t>
      </w:r>
      <w:r w:rsidR="00BC5ADF" w:rsidRPr="00A0139D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 xml:space="preserve">, a BKV Zrt. volt vezérigazgatója </w:t>
      </w:r>
      <w:proofErr w:type="gramStart"/>
      <w:r w:rsidRPr="00A0139D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>az</w:t>
      </w:r>
      <w:proofErr w:type="gramEnd"/>
      <w:r w:rsidRPr="00A0139D">
        <w:rPr>
          <w:rFonts w:asciiTheme="minorHAnsi" w:hAnsiTheme="minorHAnsi" w:cs="Calibri"/>
          <w:b/>
          <w:sz w:val="28"/>
          <w:szCs w:val="28"/>
          <w:u w:val="single"/>
          <w:lang w:val="en-US"/>
        </w:rPr>
        <w:t xml:space="preserve"> alábbiakról számolt be a bizottságnak:</w:t>
      </w:r>
    </w:p>
    <w:p w:rsidR="006C7E1B" w:rsidRPr="00A0139D" w:rsidRDefault="006C7E1B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eljárás lefolytatásához különböző döntés előkészítő bizottságokat hoztak létre.</w:t>
      </w:r>
    </w:p>
    <w:p w:rsidR="00C44BE9" w:rsidRPr="00A0139D" w:rsidRDefault="00C44BE9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gyakorlatban a “Városháza” jelölte ki a bizottság tagjait.</w:t>
      </w:r>
    </w:p>
    <w:p w:rsidR="00C44BE9" w:rsidRPr="00A0139D" w:rsidRDefault="00C44BE9" w:rsidP="00C44BE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egész beszerzés alatt óriási lobbista forgalom volt a BKV Zrt. központjában.</w:t>
      </w:r>
    </w:p>
    <w:p w:rsidR="00C44BE9" w:rsidRPr="00A0139D" w:rsidRDefault="00C44BE9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DBR Projekt Igazgatóság, amelynek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igazgatója 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 xml:space="preserve">ekkor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Gulyás László volt, teljes mértékben önműködőként dolgozott, mint végrehajtó.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instrukciókat a “Városházáról” kapta folyamatosan.</w:t>
      </w:r>
    </w:p>
    <w:p w:rsidR="00C44BE9" w:rsidRPr="00A0139D" w:rsidRDefault="00C44BE9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Aba Botond kezdeményezte Gulyás László leváltását, azonban ezt megakadályozták a “Városházán”. </w:t>
      </w:r>
    </w:p>
    <w:p w:rsidR="00C44BE9" w:rsidRPr="00A0139D" w:rsidRDefault="00C44BE9" w:rsidP="006C7E1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Arra a kérdésre, hogy kit ért a “V</w:t>
      </w:r>
      <w:r w:rsidR="005E31E9">
        <w:rPr>
          <w:rFonts w:asciiTheme="minorHAnsi" w:hAnsiTheme="minorHAnsi" w:cs="Calibri"/>
          <w:sz w:val="28"/>
          <w:szCs w:val="28"/>
          <w:lang w:val="en-US"/>
        </w:rPr>
        <w:t xml:space="preserve">árosháza” alatt, </w:t>
      </w:r>
      <w:proofErr w:type="gramStart"/>
      <w:r w:rsidR="005E31E9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="005E31E9">
        <w:rPr>
          <w:rFonts w:asciiTheme="minorHAnsi" w:hAnsiTheme="minorHAnsi" w:cs="Calibri"/>
          <w:sz w:val="28"/>
          <w:szCs w:val="28"/>
          <w:lang w:val="en-US"/>
        </w:rPr>
        <w:t xml:space="preserve"> alábbi dönt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é</w:t>
      </w:r>
      <w:r w:rsidR="005E31E9">
        <w:rPr>
          <w:rFonts w:asciiTheme="minorHAnsi" w:hAnsiTheme="minorHAnsi" w:cs="Calibri"/>
          <w:sz w:val="28"/>
          <w:szCs w:val="28"/>
          <w:lang w:val="en-US"/>
        </w:rPr>
        <w:t>s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hozókat nevezte meg:</w:t>
      </w:r>
    </w:p>
    <w:p w:rsidR="00C44BE9" w:rsidRPr="00A0139D" w:rsidRDefault="00C44BE9" w:rsidP="00C629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Demszky Gábor volt főpolgármester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 (SZDSZ)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, aki elmondása szerint személyesen adott instrukciókat neki több ügyben, így a beszerzés kapcsán is,</w:t>
      </w:r>
    </w:p>
    <w:p w:rsidR="00C44BE9" w:rsidRPr="00A0139D" w:rsidRDefault="00C44BE9" w:rsidP="00C629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Vajda Pál volt </w:t>
      </w:r>
      <w:r w:rsidR="00851253" w:rsidRPr="00A0139D">
        <w:rPr>
          <w:rFonts w:asciiTheme="minorHAnsi" w:hAnsiTheme="minorHAnsi" w:cs="Calibri"/>
          <w:sz w:val="28"/>
          <w:szCs w:val="28"/>
          <w:lang w:val="en-US"/>
        </w:rPr>
        <w:t>főpolgármester-helyettes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 (MSZP)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,</w:t>
      </w:r>
    </w:p>
    <w:p w:rsidR="00C44BE9" w:rsidRPr="00A0139D" w:rsidRDefault="00132C1F" w:rsidP="00C629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Ikvai-Szabó Imre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 volt főpolgármester-helyettes (SZDSZ),</w:t>
      </w:r>
    </w:p>
    <w:p w:rsidR="004C65F2" w:rsidRPr="00A0139D" w:rsidRDefault="004C65F2" w:rsidP="00C629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Atkári János volt főpolgármester-helyettes (SZDSZ),</w:t>
      </w:r>
    </w:p>
    <w:p w:rsidR="004C65F2" w:rsidRPr="00A0139D" w:rsidRDefault="004C65F2" w:rsidP="00C6298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valamint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egy kabinet tag, aki azóta elhunyt. Kegyeleti okokból nem nevezzük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meg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4C65F2" w:rsidRPr="00A0139D" w:rsidRDefault="004C65F2" w:rsidP="004C65F2">
      <w:pPr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4C65F2" w:rsidRPr="00A0139D" w:rsidRDefault="004C65F2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Aba Botond beszámolója szerin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t Gulyás László leváltását Atkár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i János nem engedte, annak ellenére, hogy a volt főpolgármester-helyettes hatáskörei közé nem tartoztak a BKV ügyei.</w:t>
      </w:r>
    </w:p>
    <w:p w:rsidR="004C65F2" w:rsidRPr="00A0139D" w:rsidRDefault="00EE7B2F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sz w:val="28"/>
          <w:szCs w:val="28"/>
          <w:lang w:val="en-US"/>
        </w:rPr>
        <w:t>Elmondása szerint a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 metró </w:t>
      </w:r>
      <w:r w:rsidR="003021A7" w:rsidRPr="00A0139D">
        <w:rPr>
          <w:rFonts w:asciiTheme="minorHAnsi" w:hAnsiTheme="minorHAnsi" w:cs="Calibri"/>
          <w:sz w:val="28"/>
          <w:szCs w:val="28"/>
          <w:lang w:val="en-US"/>
        </w:rPr>
        <w:t>kocsik beszerzése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 a “Városháza” szigorú vezénylése mellett</w:t>
      </w:r>
      <w:r w:rsidR="003021A7" w:rsidRPr="00A0139D">
        <w:rPr>
          <w:rFonts w:asciiTheme="minorHAnsi" w:hAnsiTheme="minorHAnsi" w:cs="Calibri"/>
          <w:sz w:val="28"/>
          <w:szCs w:val="28"/>
          <w:lang w:val="en-US"/>
        </w:rPr>
        <w:t xml:space="preserve"> történt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>. A döntések átkerültek a DBR Projekt Igazg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atósághoz (Gulyás László igazga</w:t>
      </w:r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 xml:space="preserve">tó), ahol a gyarkolatban a döntéseket a “Városháza” hozta </w:t>
      </w:r>
      <w:proofErr w:type="gramStart"/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>meg</w:t>
      </w:r>
      <w:proofErr w:type="gramEnd"/>
      <w:r w:rsidR="004C65F2"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4C65F2" w:rsidRDefault="004C65F2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teljes tender 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le</w:t>
      </w:r>
      <w:r w:rsidR="005E31E9">
        <w:rPr>
          <w:rFonts w:asciiTheme="minorHAnsi" w:hAnsiTheme="minorHAnsi" w:cs="Calibri"/>
          <w:sz w:val="28"/>
          <w:szCs w:val="28"/>
          <w:lang w:val="en-US"/>
        </w:rPr>
        <w:t>bonyolítására szakértőkén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t bevonásra került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Eurometro Kft. tanácsadó cég, amelyet szintén a “Városháza” ajánlott be. A kiírás részleteit és a még azzal is ellentétes szerződést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Eurometro Kft. dolgozta ki</w:t>
      </w:r>
      <w:r w:rsidR="004558BB" w:rsidRPr="00A0139D">
        <w:rPr>
          <w:rFonts w:asciiTheme="minorHAnsi" w:hAnsiTheme="minorHAnsi" w:cs="Calibri"/>
          <w:sz w:val="28"/>
          <w:szCs w:val="28"/>
          <w:lang w:val="en-US"/>
        </w:rPr>
        <w:t>, készítette elő.</w:t>
      </w:r>
    </w:p>
    <w:p w:rsidR="00AB0DCA" w:rsidRPr="00A0139D" w:rsidRDefault="00AB0DCA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sz w:val="28"/>
          <w:szCs w:val="28"/>
          <w:lang w:val="en-US"/>
        </w:rPr>
        <w:t>A tárgyaló delegációt Donáth Zoltán és Elekes Márton vezették.</w:t>
      </w:r>
    </w:p>
    <w:p w:rsidR="00DE0BA9" w:rsidRPr="00EE7B2F" w:rsidRDefault="00EE7B2F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>Megjegyezzük, hogy</w:t>
      </w:r>
      <w:r w:rsidR="00AB0DCA">
        <w:rPr>
          <w:rFonts w:asciiTheme="minorHAnsi" w:hAnsiTheme="minorHAnsi" w:cs="Calibri"/>
          <w:b/>
          <w:sz w:val="28"/>
          <w:szCs w:val="28"/>
          <w:lang w:val="en-US"/>
        </w:rPr>
        <w:t xml:space="preserve"> a közbeszerzés lefolytatása kapcsán a döntéseket a BKV Zrt. Igazgatósága hozta </w:t>
      </w:r>
      <w:proofErr w:type="gramStart"/>
      <w:r w:rsidR="00AB0DCA">
        <w:rPr>
          <w:rFonts w:asciiTheme="minorHAnsi" w:hAnsiTheme="minorHAnsi" w:cs="Calibri"/>
          <w:b/>
          <w:sz w:val="28"/>
          <w:szCs w:val="28"/>
          <w:lang w:val="en-US"/>
        </w:rPr>
        <w:t>meg</w:t>
      </w:r>
      <w:proofErr w:type="gramEnd"/>
      <w:r w:rsidR="00AB0DCA">
        <w:rPr>
          <w:rFonts w:asciiTheme="minorHAnsi" w:hAnsiTheme="minorHAnsi" w:cs="Calibri"/>
          <w:b/>
          <w:sz w:val="28"/>
          <w:szCs w:val="28"/>
          <w:lang w:val="en-US"/>
        </w:rPr>
        <w:t>. Mind a Bíráló, mind a Tender Bizottságok, valamint a közbeszerzési szakértő cég is csak előkészítő és javaslattevő szerepet töltött be.</w:t>
      </w:r>
    </w:p>
    <w:p w:rsidR="00A31197" w:rsidRPr="00A0139D" w:rsidRDefault="00A31197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DE0BA9" w:rsidRPr="00A0139D" w:rsidRDefault="00DE0BA9" w:rsidP="00C6298D">
      <w:pPr>
        <w:pStyle w:val="Cmsor1"/>
        <w:numPr>
          <w:ilvl w:val="0"/>
          <w:numId w:val="6"/>
        </w:numPr>
        <w:rPr>
          <w:lang w:val="en-US"/>
        </w:rPr>
      </w:pPr>
      <w:bookmarkStart w:id="20" w:name="_Toc468709050"/>
      <w:r w:rsidRPr="00A0139D">
        <w:rPr>
          <w:lang w:val="en-US"/>
        </w:rPr>
        <w:lastRenderedPageBreak/>
        <w:t>ÖSSZEFOGLALÓ MEGÁLLAPÍTÁSOK</w:t>
      </w:r>
      <w:bookmarkEnd w:id="20"/>
    </w:p>
    <w:p w:rsidR="00DE0BA9" w:rsidRPr="00A0139D" w:rsidRDefault="00DE0BA9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Főváro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si Önkormányzat döntését követő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e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n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szükségessé vált az M2-es szerelvények beszerzése, valamint az új 4-es metró megépítésével 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az új vonalra új</w:t>
      </w:r>
      <w:r w:rsidR="005E6674">
        <w:rPr>
          <w:rFonts w:asciiTheme="minorHAnsi" w:hAnsiTheme="minorHAnsi" w:cs="Calibri"/>
          <w:sz w:val="28"/>
          <w:szCs w:val="28"/>
          <w:lang w:val="en-US"/>
        </w:rPr>
        <w:t xml:space="preserve"> metrókocsik beszer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z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ése is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DE0BA9" w:rsidRPr="00A0139D" w:rsidRDefault="00DE0BA9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Fővárosi Önkormányzat megbízása alapján a beszerzés teljes lebo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nyolítását a BKV Zrt. végezte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. A cégen belül a DBR Metro Pro</w:t>
      </w:r>
      <w:r w:rsidR="00B73AFF" w:rsidRPr="00A0139D">
        <w:rPr>
          <w:rFonts w:asciiTheme="minorHAnsi" w:hAnsiTheme="minorHAnsi" w:cs="Calibri"/>
          <w:sz w:val="28"/>
          <w:szCs w:val="28"/>
          <w:lang w:val="en-US"/>
        </w:rPr>
        <w:t>jekti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gazgatóság volt a felelős a lebonyolításért.</w:t>
      </w:r>
    </w:p>
    <w:p w:rsidR="002C3A60" w:rsidRPr="00A0139D" w:rsidRDefault="002C3A60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>le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bonyolítás közbeszerzési szakértője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Eurometro Kft.</w:t>
      </w:r>
      <w:r w:rsidR="00AB0DCA">
        <w:rPr>
          <w:rFonts w:asciiTheme="minorHAnsi" w:hAnsiTheme="minorHAnsi" w:cs="Calibri"/>
          <w:sz w:val="28"/>
          <w:szCs w:val="28"/>
          <w:lang w:val="en-US"/>
        </w:rPr>
        <w:t xml:space="preserve"> volt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2C3A60" w:rsidRPr="00A0139D" w:rsidRDefault="002C3A60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közbeszerzés előkészítése és értékelése céljából bizottságok jöttek létre, amelyek döntéselőkészítő szerepet kaptak. A bizottságok tagjait</w:t>
      </w:r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 részben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Demszky Gábor és helyettesei jelöl</w:t>
      </w:r>
      <w:r w:rsidR="00823C0C">
        <w:rPr>
          <w:rFonts w:asciiTheme="minorHAnsi" w:hAnsiTheme="minorHAnsi" w:cs="Calibri"/>
          <w:sz w:val="28"/>
          <w:szCs w:val="28"/>
          <w:lang w:val="en-US"/>
        </w:rPr>
        <w:t>het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ték ki</w:t>
      </w:r>
      <w:r w:rsidR="00D3093C" w:rsidRPr="00A0139D">
        <w:rPr>
          <w:rFonts w:asciiTheme="minorHAnsi" w:hAnsiTheme="minorHAnsi" w:cs="Calibri"/>
          <w:sz w:val="28"/>
          <w:szCs w:val="28"/>
          <w:lang w:val="en-US"/>
        </w:rPr>
        <w:t xml:space="preserve"> a valóságban</w:t>
      </w:r>
      <w:r w:rsidR="00823C0C">
        <w:rPr>
          <w:rFonts w:asciiTheme="minorHAnsi" w:hAnsiTheme="minorHAnsi" w:cs="Calibri"/>
          <w:sz w:val="28"/>
          <w:szCs w:val="28"/>
          <w:lang w:val="en-US"/>
        </w:rPr>
        <w:t>, a BKV</w:t>
      </w:r>
      <w:r w:rsidR="00AB0DCA">
        <w:rPr>
          <w:rFonts w:asciiTheme="minorHAnsi" w:hAnsiTheme="minorHAnsi" w:cs="Calibri"/>
          <w:sz w:val="28"/>
          <w:szCs w:val="28"/>
          <w:lang w:val="en-US"/>
        </w:rPr>
        <w:t xml:space="preserve"> Zrt.</w:t>
      </w:r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 delegáltjait maga a cég jelölte ki.</w:t>
      </w:r>
    </w:p>
    <w:p w:rsidR="00D3093C" w:rsidRPr="00A0139D" w:rsidRDefault="004D180A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proofErr w:type="gramStart"/>
      <w:r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>
        <w:rPr>
          <w:rFonts w:asciiTheme="minorHAnsi" w:hAnsiTheme="minorHAnsi" w:cs="Calibri"/>
          <w:sz w:val="28"/>
          <w:szCs w:val="28"/>
          <w:lang w:val="en-US"/>
        </w:rPr>
        <w:t xml:space="preserve"> érdemi döntéshozás</w:t>
      </w:r>
      <w:r w:rsidR="00D3093C" w:rsidRPr="00A0139D">
        <w:rPr>
          <w:rFonts w:asciiTheme="minorHAnsi" w:hAnsiTheme="minorHAnsi" w:cs="Calibri"/>
          <w:sz w:val="28"/>
          <w:szCs w:val="28"/>
          <w:lang w:val="en-US"/>
        </w:rPr>
        <w:t xml:space="preserve"> v</w:t>
      </w:r>
      <w:r>
        <w:rPr>
          <w:rFonts w:asciiTheme="minorHAnsi" w:hAnsiTheme="minorHAnsi" w:cs="Calibri"/>
          <w:sz w:val="28"/>
          <w:szCs w:val="28"/>
          <w:lang w:val="en-US"/>
        </w:rPr>
        <w:t>élelmezhetően felső vezetői kör</w:t>
      </w:r>
      <w:r w:rsidR="00D3093C" w:rsidRPr="00A0139D">
        <w:rPr>
          <w:rFonts w:asciiTheme="minorHAnsi" w:hAnsiTheme="minorHAnsi" w:cs="Calibri"/>
          <w:sz w:val="28"/>
          <w:szCs w:val="28"/>
          <w:lang w:val="en-US"/>
        </w:rPr>
        <w:t>ben történt, amelyet a bizottságok és a közbeszerzési ta</w:t>
      </w:r>
      <w:r>
        <w:rPr>
          <w:rFonts w:asciiTheme="minorHAnsi" w:hAnsiTheme="minorHAnsi" w:cs="Calibri"/>
          <w:sz w:val="28"/>
          <w:szCs w:val="28"/>
          <w:lang w:val="en-US"/>
        </w:rPr>
        <w:t xml:space="preserve">nácsadó cég </w:t>
      </w:r>
      <w:r w:rsidR="00AB0DCA">
        <w:rPr>
          <w:rFonts w:asciiTheme="minorHAnsi" w:hAnsiTheme="minorHAnsi" w:cs="Calibri"/>
          <w:sz w:val="28"/>
          <w:szCs w:val="28"/>
          <w:lang w:val="en-US"/>
        </w:rPr>
        <w:t>előkészített, a BKV Zrt. Igazgatótanácsa pedig jóváhagyott</w:t>
      </w:r>
      <w:r w:rsidR="00D3093C"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DE443E" w:rsidRPr="00A0139D" w:rsidRDefault="00DE443E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közbeszerzés kiírásánál és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értékelési szempontok kijelölésénél a vizsgáló bizottság nem tudta megállapítani, hogy az Alstom</w:t>
      </w:r>
      <w:r w:rsidR="00BC5ADF" w:rsidRPr="00A0139D">
        <w:rPr>
          <w:rFonts w:asciiTheme="minorHAnsi" w:hAnsiTheme="minorHAnsi" w:cs="Calibri"/>
          <w:sz w:val="28"/>
          <w:szCs w:val="28"/>
          <w:lang w:val="en-US"/>
        </w:rPr>
        <w:t xml:space="preserve"> Transport S.A.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gyakorolt-e befolyást a szempontrendszerre, azonban a közbeszerzés értékelésének részleteit vizsgálva szembetűnő, hogy a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műszaki paraméterek mely típusú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gyártónak kedvezhettek a leginkább. Továbbá a döntési mechanizmusoknál a szubjektív értékelési szempontok alkalmazása lehetőséget adhatott arra is, hogy a későbbi győztes többlet pontok megszerzésével a teljes pályázat győztese legyen.</w:t>
      </w:r>
      <w:r w:rsidR="00FD4C24"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="008B5DD3">
        <w:rPr>
          <w:rFonts w:asciiTheme="minorHAnsi" w:hAnsiTheme="minorHAnsi" w:cs="Calibri"/>
          <w:sz w:val="28"/>
          <w:szCs w:val="28"/>
          <w:lang w:val="en-US"/>
        </w:rPr>
        <w:t>A közbeszerzés előészítéséért</w:t>
      </w:r>
      <w:r w:rsidR="00FD4C24" w:rsidRPr="00A0139D">
        <w:rPr>
          <w:rFonts w:asciiTheme="minorHAnsi" w:hAnsiTheme="minorHAnsi" w:cs="Calibri"/>
          <w:sz w:val="28"/>
          <w:szCs w:val="28"/>
          <w:lang w:val="en-US"/>
        </w:rPr>
        <w:t xml:space="preserve">, kidolgozásáért és bonyolításáért </w:t>
      </w:r>
      <w:proofErr w:type="gramStart"/>
      <w:r w:rsidR="00FD4C24" w:rsidRPr="00A0139D">
        <w:rPr>
          <w:rFonts w:asciiTheme="minorHAnsi" w:hAnsiTheme="minorHAnsi" w:cs="Calibri"/>
          <w:sz w:val="28"/>
          <w:szCs w:val="28"/>
          <w:lang w:val="en-US"/>
        </w:rPr>
        <w:t>az</w:t>
      </w:r>
      <w:proofErr w:type="gramEnd"/>
      <w:r w:rsidR="00FD4C24" w:rsidRPr="00A0139D">
        <w:rPr>
          <w:rFonts w:asciiTheme="minorHAnsi" w:hAnsiTheme="minorHAnsi" w:cs="Calibri"/>
          <w:sz w:val="28"/>
          <w:szCs w:val="28"/>
          <w:lang w:val="en-US"/>
        </w:rPr>
        <w:t xml:space="preserve"> Eurometr</w:t>
      </w:r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o Kft. volt a megbízott felelős, aki javaslatokat dolgozott ki. </w:t>
      </w:r>
      <w:r w:rsidR="00823C0C" w:rsidRPr="00823C0C">
        <w:rPr>
          <w:rFonts w:asciiTheme="minorHAnsi" w:hAnsiTheme="minorHAnsi" w:cs="Calibri"/>
          <w:b/>
          <w:sz w:val="28"/>
          <w:szCs w:val="28"/>
          <w:lang w:val="en-US"/>
        </w:rPr>
        <w:t xml:space="preserve">A végső döntéseket a BKV Zrt. Igazgatósága hozta </w:t>
      </w:r>
      <w:proofErr w:type="gramStart"/>
      <w:r w:rsidR="00823C0C" w:rsidRPr="00823C0C">
        <w:rPr>
          <w:rFonts w:asciiTheme="minorHAnsi" w:hAnsiTheme="minorHAnsi" w:cs="Calibri"/>
          <w:b/>
          <w:sz w:val="28"/>
          <w:szCs w:val="28"/>
          <w:lang w:val="en-US"/>
        </w:rPr>
        <w:t>meg</w:t>
      </w:r>
      <w:proofErr w:type="gramEnd"/>
      <w:r w:rsidR="00823C0C" w:rsidRPr="00823C0C">
        <w:rPr>
          <w:rFonts w:asciiTheme="minorHAnsi" w:hAnsiTheme="minorHAnsi" w:cs="Calibri"/>
          <w:b/>
          <w:sz w:val="28"/>
          <w:szCs w:val="28"/>
          <w:lang w:val="en-US"/>
        </w:rPr>
        <w:t>.</w:t>
      </w:r>
    </w:p>
    <w:p w:rsidR="00DE443E" w:rsidRPr="00A0139D" w:rsidRDefault="00DE443E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A győztes szerelvénytípus közbeszerzési eljárást megelőző esetleges “kiválasztását” az is alátámasztani látszik, hogy a 2006-os normák</w:t>
      </w:r>
      <w:r w:rsidR="004D180A">
        <w:rPr>
          <w:rFonts w:asciiTheme="minorHAnsi" w:hAnsiTheme="minorHAnsi" w:cs="Calibri"/>
          <w:sz w:val="28"/>
          <w:szCs w:val="28"/>
          <w:lang w:val="en-US"/>
        </w:rPr>
        <w:t>tól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és az akkori BKV-s normáktól eltérve, 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softHyphen/>
        <w:t xml:space="preserve">–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figyelmen kívül hagyva a nemzetgazdasági és fővárosi költségvetési szempontokat is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–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, a nagy összegű beszerzésnél a több alkalmas pályázó közül nem az ár jele</w:t>
      </w:r>
      <w:r w:rsidR="00F45BF9">
        <w:rPr>
          <w:rFonts w:asciiTheme="minorHAnsi" w:hAnsiTheme="minorHAnsi" w:cs="Calibri"/>
          <w:sz w:val="28"/>
          <w:szCs w:val="28"/>
          <w:lang w:val="en-US"/>
        </w:rPr>
        <w:t>ntette a legfontosabb mutatót. A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döntésnél még 50%-os aránynál is kevesebb mértékben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lett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figyelembe véve.</w:t>
      </w:r>
    </w:p>
    <w:p w:rsidR="00B177AD" w:rsidRPr="00A0139D" w:rsidRDefault="00B177AD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közbeszerzés lezárása után, ahol álláspontuk szerint nemzetgazdasági szempontok szerint több más ajánlat is </w:t>
      </w:r>
      <w:r w:rsidR="00F45BF9">
        <w:rPr>
          <w:rFonts w:asciiTheme="minorHAnsi" w:hAnsiTheme="minorHAnsi" w:cs="Calibri"/>
          <w:sz w:val="28"/>
          <w:szCs w:val="28"/>
          <w:lang w:val="en-US"/>
        </w:rPr>
        <w:t>a kiírásnak megfelelő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lett volna ár-érték, valamint funkció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lastRenderedPageBreak/>
        <w:t>szempontjából</w:t>
      </w:r>
      <w:r w:rsidR="003A2655" w:rsidRPr="00A0139D">
        <w:rPr>
          <w:rFonts w:asciiTheme="minorHAnsi" w:hAnsiTheme="minorHAnsi" w:cs="Calibri"/>
          <w:sz w:val="28"/>
          <w:szCs w:val="28"/>
          <w:lang w:val="en-US"/>
        </w:rPr>
        <w:t xml:space="preserve">, olyan szerződéstervezet került aláírásra, 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amely tovább rontotta a Magyar Á</w:t>
      </w:r>
      <w:r w:rsidR="003A2655" w:rsidRPr="00A0139D">
        <w:rPr>
          <w:rFonts w:asciiTheme="minorHAnsi" w:hAnsiTheme="minorHAnsi" w:cs="Calibri"/>
          <w:sz w:val="28"/>
          <w:szCs w:val="28"/>
          <w:lang w:val="en-US"/>
        </w:rPr>
        <w:t>llam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és a F</w:t>
      </w:r>
      <w:r w:rsidR="003A2655" w:rsidRPr="00A0139D">
        <w:rPr>
          <w:rFonts w:asciiTheme="minorHAnsi" w:hAnsiTheme="minorHAnsi" w:cs="Calibri"/>
          <w:sz w:val="28"/>
          <w:szCs w:val="28"/>
          <w:lang w:val="en-US"/>
        </w:rPr>
        <w:t xml:space="preserve">őváros pozícióját. A szerződést szintén </w:t>
      </w:r>
      <w:proofErr w:type="gramStart"/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r w:rsidR="00823C0C">
        <w:rPr>
          <w:rFonts w:asciiTheme="minorHAnsi" w:hAnsiTheme="minorHAnsi" w:cs="Calibri"/>
          <w:sz w:val="28"/>
          <w:szCs w:val="28"/>
          <w:lang w:val="en-US"/>
        </w:rPr>
        <w:t>z</w:t>
      </w:r>
      <w:proofErr w:type="gramEnd"/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 Eurometro Kft.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="003A2655" w:rsidRPr="00A0139D">
        <w:rPr>
          <w:rFonts w:asciiTheme="minorHAnsi" w:hAnsiTheme="minorHAnsi" w:cs="Calibri"/>
          <w:sz w:val="28"/>
          <w:szCs w:val="28"/>
          <w:lang w:val="en-US"/>
        </w:rPr>
        <w:t>dolgozta ki</w:t>
      </w:r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 és a BKV Zrt. Igazgatósága hagyta jóvá</w:t>
      </w:r>
      <w:r w:rsidR="003A2655"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F30E15" w:rsidRPr="00A0139D" w:rsidRDefault="00F30E15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Az a tény, amely szerint a közbeszerzési kiírástól eltérő módon – teljesítés nélkül 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–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+25% előleg kamatozott a tender győztes számláján, jelentős gazdasági előnyt jelentett az Alstom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Transport S.A.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számára</w:t>
      </w:r>
      <w:r w:rsidR="007F5034">
        <w:rPr>
          <w:rFonts w:asciiTheme="minorHAnsi" w:hAnsiTheme="minorHAnsi" w:cs="Calibri"/>
          <w:sz w:val="28"/>
          <w:szCs w:val="28"/>
          <w:lang w:val="en-US"/>
        </w:rPr>
        <w:t xml:space="preserve">, és jelentős </w:t>
      </w:r>
      <w:r w:rsidR="005E6674">
        <w:rPr>
          <w:rFonts w:asciiTheme="minorHAnsi" w:hAnsiTheme="minorHAnsi" w:cs="Calibri"/>
          <w:sz w:val="28"/>
          <w:szCs w:val="28"/>
          <w:lang w:val="en-US"/>
        </w:rPr>
        <w:t>pénzügyi</w:t>
      </w:r>
      <w:r w:rsidR="00823C0C">
        <w:rPr>
          <w:rFonts w:asciiTheme="minorHAnsi" w:hAnsiTheme="minorHAnsi" w:cs="Calibri"/>
          <w:sz w:val="28"/>
          <w:szCs w:val="28"/>
          <w:lang w:val="en-US"/>
        </w:rPr>
        <w:t xml:space="preserve"> hátrányt </w:t>
      </w:r>
      <w:r w:rsidR="005E6674">
        <w:rPr>
          <w:rFonts w:asciiTheme="minorHAnsi" w:hAnsiTheme="minorHAnsi" w:cs="Calibri"/>
          <w:sz w:val="28"/>
          <w:szCs w:val="28"/>
          <w:lang w:val="en-US"/>
        </w:rPr>
        <w:t>a Magyar Államnak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F30E15" w:rsidRPr="00A0139D" w:rsidRDefault="00F30E15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A 2010-es önkormányzati választás után Tarlós István főpolgármester </w:t>
      </w:r>
      <w:r w:rsidR="0090590C">
        <w:rPr>
          <w:rFonts w:asciiTheme="minorHAnsi" w:hAnsiTheme="minorHAnsi" w:cs="Calibri"/>
          <w:sz w:val="28"/>
          <w:szCs w:val="28"/>
          <w:lang w:val="en-US"/>
        </w:rPr>
        <w:t>irányításával a kifizetett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előleg visszaperlése, a szerződés</w:t>
      </w:r>
      <w:r w:rsidR="00823C0C">
        <w:rPr>
          <w:rFonts w:asciiTheme="minorHAnsi" w:hAnsiTheme="minorHAnsi" w:cs="Calibri"/>
          <w:sz w:val="28"/>
          <w:szCs w:val="28"/>
          <w:lang w:val="en-US"/>
        </w:rPr>
        <w:t>es feltételek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újra tárgyalása sz</w:t>
      </w:r>
      <w:r w:rsidR="005E6674">
        <w:rPr>
          <w:rFonts w:asciiTheme="minorHAnsi" w:hAnsiTheme="minorHAnsi" w:cs="Calibri"/>
          <w:sz w:val="28"/>
          <w:szCs w:val="28"/>
          <w:lang w:val="en-US"/>
        </w:rPr>
        <w:t>ámszerűsíthetően több milliá</w:t>
      </w:r>
      <w:r w:rsidR="008B142A">
        <w:rPr>
          <w:rFonts w:asciiTheme="minorHAnsi" w:hAnsiTheme="minorHAnsi" w:cs="Calibri"/>
          <w:sz w:val="28"/>
          <w:szCs w:val="28"/>
          <w:lang w:val="en-US"/>
        </w:rPr>
        <w:t>rd forint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előnyt jelentett mi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nd </w:t>
      </w:r>
      <w:proofErr w:type="gramStart"/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a</w:t>
      </w:r>
      <w:proofErr w:type="gramEnd"/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Fővárosnak, mind a Magyar Á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llamnak. </w:t>
      </w:r>
    </w:p>
    <w:p w:rsidR="007524F6" w:rsidRPr="00A0139D" w:rsidRDefault="00322BF8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>Tekintve, hogy a beszerzés ügyében ügyészségi nyom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o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zás van folyamatban, illetve azt a tényt, miszerint </w:t>
      </w:r>
      <w:r w:rsidR="0073041B">
        <w:rPr>
          <w:rFonts w:asciiTheme="minorHAnsi" w:hAnsiTheme="minorHAnsi" w:cs="Calibri"/>
          <w:sz w:val="28"/>
          <w:szCs w:val="28"/>
          <w:lang w:val="en-US"/>
        </w:rPr>
        <w:t>az eljáró ügyész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 xml:space="preserve"> jelezte, hogy a bizottság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jelentés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é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t szeretné </w:t>
      </w:r>
      <w:r w:rsidR="007C35BF" w:rsidRPr="00A0139D">
        <w:rPr>
          <w:rFonts w:asciiTheme="minorHAnsi" w:hAnsiTheme="minorHAnsi" w:cs="Calibri"/>
          <w:sz w:val="28"/>
          <w:szCs w:val="28"/>
          <w:lang w:val="en-US"/>
        </w:rPr>
        <w:t>áttekinteni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>, javasoljuk, hogy annak elfogadása után terjesszük fel a Legfőbb Ügyészségre a vizsgálati jelentést.</w:t>
      </w:r>
    </w:p>
    <w:p w:rsidR="00FD4C24" w:rsidRPr="00A0139D" w:rsidRDefault="00FD4C24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382BAB" w:rsidRPr="00A0139D" w:rsidRDefault="00382BAB" w:rsidP="00C6163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Budapest, 2016.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december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16.</w:t>
      </w:r>
    </w:p>
    <w:p w:rsidR="00C61632" w:rsidRDefault="00C61632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D21CF1" w:rsidRDefault="00D21CF1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D21CF1" w:rsidRPr="00A0139D" w:rsidRDefault="00D21CF1" w:rsidP="00A4699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inorHAnsi" w:hAnsiTheme="minorHAnsi" w:cs="Calibri"/>
          <w:sz w:val="28"/>
          <w:szCs w:val="28"/>
          <w:lang w:val="en-US"/>
        </w:rPr>
      </w:pPr>
    </w:p>
    <w:p w:rsidR="00382BAB" w:rsidRPr="00A0139D" w:rsidRDefault="00382BAB" w:rsidP="00225F6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 Orbán Gyöngyi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Borbély Lénárd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>Geiger Ferenc</w:t>
      </w:r>
      <w:bookmarkStart w:id="21" w:name="_GoBack"/>
      <w:bookmarkEnd w:id="21"/>
    </w:p>
    <w:p w:rsidR="00382BAB" w:rsidRPr="00A0139D" w:rsidRDefault="00A46999" w:rsidP="00225F6D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="Calibri"/>
          <w:sz w:val="28"/>
          <w:szCs w:val="28"/>
          <w:lang w:val="en-US"/>
        </w:rPr>
      </w:pPr>
      <w:r w:rsidRPr="00A0139D">
        <w:rPr>
          <w:rFonts w:asciiTheme="minorHAnsi" w:hAnsiTheme="minorHAnsi" w:cs="Calibri"/>
          <w:sz w:val="28"/>
          <w:szCs w:val="28"/>
          <w:lang w:val="en-US"/>
        </w:rPr>
        <w:t xml:space="preserve">      </w:t>
      </w:r>
      <w:proofErr w:type="gramStart"/>
      <w:r w:rsidRPr="00A0139D">
        <w:rPr>
          <w:rFonts w:asciiTheme="minorHAnsi" w:hAnsiTheme="minorHAnsi" w:cs="Calibri"/>
          <w:sz w:val="28"/>
          <w:szCs w:val="28"/>
          <w:lang w:val="en-US"/>
        </w:rPr>
        <w:t>alelnök</w:t>
      </w:r>
      <w:proofErr w:type="gramEnd"/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      </w:t>
      </w:r>
      <w:r w:rsidR="00382BAB" w:rsidRPr="00A0139D">
        <w:rPr>
          <w:rFonts w:asciiTheme="minorHAnsi" w:hAnsiTheme="minorHAnsi" w:cs="Calibri"/>
          <w:sz w:val="28"/>
          <w:szCs w:val="28"/>
          <w:lang w:val="en-US"/>
        </w:rPr>
        <w:t xml:space="preserve"> elnök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   </w:t>
      </w:r>
      <w:r w:rsidRPr="00A0139D">
        <w:rPr>
          <w:rFonts w:asciiTheme="minorHAnsi" w:hAnsiTheme="minorHAnsi" w:cs="Calibri"/>
          <w:sz w:val="28"/>
          <w:szCs w:val="28"/>
          <w:lang w:val="en-US"/>
        </w:rPr>
        <w:tab/>
        <w:t xml:space="preserve"> bizottsági tag</w:t>
      </w:r>
    </w:p>
    <w:p w:rsidR="00A46999" w:rsidRPr="00A0139D" w:rsidRDefault="00A46999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4D180A" w:rsidRDefault="004D180A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EE7B2F" w:rsidRDefault="00EE7B2F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EE7B2F" w:rsidRDefault="00EE7B2F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EE7B2F" w:rsidRDefault="00EE7B2F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EE7B2F" w:rsidRDefault="00EE7B2F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EE7B2F" w:rsidRDefault="00EE7B2F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</w:p>
    <w:p w:rsidR="00523FE7" w:rsidRPr="00A0139D" w:rsidRDefault="001C7080" w:rsidP="002B14B2">
      <w:pPr>
        <w:pStyle w:val="BPmellkletcm"/>
        <w:ind w:left="360"/>
        <w:jc w:val="both"/>
        <w:rPr>
          <w:rFonts w:asciiTheme="minorHAnsi" w:hAnsiTheme="minorHAnsi"/>
          <w:sz w:val="24"/>
          <w:szCs w:val="24"/>
        </w:rPr>
      </w:pPr>
      <w:r w:rsidRPr="00A0139D">
        <w:rPr>
          <w:rFonts w:asciiTheme="minorHAnsi" w:hAnsiTheme="minorHAnsi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>
                <wp:extent cx="6047740" cy="635"/>
                <wp:effectExtent l="9525" t="10160" r="10160" b="8255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635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7C3F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l/IAIAAD0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" strokeweight=".3pt">
                <w10:anchorlock/>
              </v:shape>
            </w:pict>
          </mc:Fallback>
        </mc:AlternateContent>
      </w:r>
    </w:p>
    <w:p w:rsidR="00723B8B" w:rsidRPr="00A0139D" w:rsidRDefault="00623EC4" w:rsidP="00415144">
      <w:pPr>
        <w:pStyle w:val="BPmellkletek"/>
        <w:numPr>
          <w:ilvl w:val="0"/>
          <w:numId w:val="0"/>
        </w:numPr>
        <w:ind w:left="227" w:hanging="227"/>
        <w:jc w:val="center"/>
        <w:rPr>
          <w:rFonts w:asciiTheme="minorHAnsi" w:hAnsiTheme="minorHAnsi"/>
          <w:sz w:val="24"/>
          <w:szCs w:val="24"/>
        </w:rPr>
      </w:pPr>
      <w:r w:rsidRPr="00A0139D">
        <w:rPr>
          <w:rFonts w:asciiTheme="minorHAnsi" w:hAnsiTheme="minorHAnsi"/>
          <w:sz w:val="24"/>
          <w:szCs w:val="24"/>
        </w:rPr>
        <w:t xml:space="preserve">1052 </w:t>
      </w:r>
      <w:r w:rsidR="00E558FE" w:rsidRPr="00A0139D">
        <w:rPr>
          <w:rFonts w:asciiTheme="minorHAnsi" w:hAnsiTheme="minorHAnsi"/>
          <w:sz w:val="24"/>
          <w:szCs w:val="24"/>
        </w:rPr>
        <w:t>Bp., Városház u. 9-11. I. em. 196</w:t>
      </w:r>
      <w:r w:rsidRPr="00A0139D">
        <w:rPr>
          <w:rFonts w:asciiTheme="minorHAnsi" w:hAnsiTheme="minorHAnsi"/>
          <w:sz w:val="24"/>
          <w:szCs w:val="24"/>
        </w:rPr>
        <w:t>.</w:t>
      </w:r>
    </w:p>
    <w:sectPr w:rsidR="00723B8B" w:rsidRPr="00A0139D" w:rsidSect="00E32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992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33" w:rsidRDefault="00B40233" w:rsidP="007D58FD">
      <w:pPr>
        <w:spacing w:after="0" w:line="240" w:lineRule="auto"/>
      </w:pPr>
      <w:r>
        <w:separator/>
      </w:r>
    </w:p>
  </w:endnote>
  <w:endnote w:type="continuationSeparator" w:id="0">
    <w:p w:rsidR="00B40233" w:rsidRDefault="00B4023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41" w:rsidRDefault="00800F13" w:rsidP="00236036">
    <w:pPr>
      <w:pStyle w:val="BPoldalszm"/>
      <w:jc w:val="center"/>
    </w:pPr>
    <w:r>
      <w:fldChar w:fldCharType="begin"/>
    </w:r>
    <w:r w:rsidR="0076359B">
      <w:instrText xml:space="preserve"> PAGE </w:instrText>
    </w:r>
    <w:r>
      <w:fldChar w:fldCharType="separate"/>
    </w:r>
    <w:r w:rsidR="00225F6D">
      <w:rPr>
        <w:noProof/>
      </w:rPr>
      <w:t>20</w:t>
    </w:r>
    <w:r>
      <w:rPr>
        <w:noProof/>
      </w:rPr>
      <w:fldChar w:fldCharType="end"/>
    </w:r>
    <w:r w:rsidR="00B94141" w:rsidRPr="000B5409">
      <w:t xml:space="preserve"> / </w:t>
    </w:r>
    <w:r>
      <w:fldChar w:fldCharType="begin"/>
    </w:r>
    <w:r w:rsidR="001D6A9E">
      <w:instrText xml:space="preserve"> NUMPAGES  </w:instrText>
    </w:r>
    <w:r>
      <w:fldChar w:fldCharType="separate"/>
    </w:r>
    <w:r w:rsidR="00225F6D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41" w:rsidRPr="004E7D10" w:rsidRDefault="00800F13" w:rsidP="00236036">
    <w:pPr>
      <w:pStyle w:val="BPoldalszm"/>
      <w:jc w:val="center"/>
    </w:pPr>
    <w:r>
      <w:fldChar w:fldCharType="begin"/>
    </w:r>
    <w:r w:rsidR="0076359B">
      <w:instrText xml:space="preserve"> PAGE </w:instrText>
    </w:r>
    <w:r>
      <w:fldChar w:fldCharType="separate"/>
    </w:r>
    <w:r w:rsidR="00225F6D">
      <w:rPr>
        <w:noProof/>
      </w:rPr>
      <w:t>19</w:t>
    </w:r>
    <w:r>
      <w:rPr>
        <w:noProof/>
      </w:rPr>
      <w:fldChar w:fldCharType="end"/>
    </w:r>
    <w:r w:rsidR="00B94141" w:rsidRPr="000B5409">
      <w:t xml:space="preserve"> / </w:t>
    </w:r>
    <w:r>
      <w:fldChar w:fldCharType="begin"/>
    </w:r>
    <w:r w:rsidR="001D6A9E">
      <w:instrText xml:space="preserve"> NUMPAGES  </w:instrText>
    </w:r>
    <w:r>
      <w:fldChar w:fldCharType="separate"/>
    </w:r>
    <w:r w:rsidR="00225F6D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141" w:rsidRPr="00A15AD5" w:rsidRDefault="00B94141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33" w:rsidRDefault="00B40233" w:rsidP="007D58FD">
      <w:pPr>
        <w:spacing w:after="0" w:line="240" w:lineRule="auto"/>
      </w:pPr>
      <w:r>
        <w:separator/>
      </w:r>
    </w:p>
  </w:footnote>
  <w:footnote w:type="continuationSeparator" w:id="0">
    <w:p w:rsidR="00B40233" w:rsidRDefault="00B40233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EF" w:rsidRDefault="009C79E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EF" w:rsidRDefault="009C79E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92"/>
      <w:gridCol w:w="3231"/>
    </w:tblGrid>
    <w:tr w:rsidR="00B94141" w:rsidRPr="00D31FB3" w:rsidTr="00C91B1D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94141" w:rsidRPr="00D37982" w:rsidRDefault="00B94141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B94141" w:rsidRDefault="00B94141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Közgyűlése</w:t>
          </w:r>
        </w:p>
        <w:p w:rsidR="00B94141" w:rsidRPr="0003249D" w:rsidRDefault="00B94141" w:rsidP="008D1187">
          <w:pPr>
            <w:pStyle w:val="BPhivatal"/>
            <w:rPr>
              <w:szCs w:val="19"/>
            </w:rPr>
          </w:pPr>
        </w:p>
      </w:tc>
    </w:tr>
    <w:tr w:rsidR="00B94141" w:rsidRPr="00BB3B91" w:rsidTr="00C91B1D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94141" w:rsidRPr="00BB3B91" w:rsidRDefault="00B94141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B94141" w:rsidRPr="00BB3B91" w:rsidRDefault="00B94141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94141" w:rsidRPr="000208F8" w:rsidTr="00C91B1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94141" w:rsidRPr="00BB3B91" w:rsidRDefault="00B94141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94141" w:rsidRDefault="00E643CD" w:rsidP="00DD07BC">
          <w:pPr>
            <w:pStyle w:val="BPhivatal"/>
          </w:pPr>
          <w:r>
            <w:t>Alstom Metrókocsi Beszerzéseket Vizsgáló</w:t>
          </w:r>
        </w:p>
        <w:p w:rsidR="00E643CD" w:rsidRPr="000208F8" w:rsidRDefault="00E643CD" w:rsidP="00DD07BC">
          <w:pPr>
            <w:pStyle w:val="BPhivatal"/>
          </w:pPr>
          <w:r>
            <w:t>Ideiglenes Bizottság</w:t>
          </w:r>
        </w:p>
      </w:tc>
    </w:tr>
    <w:tr w:rsidR="00B94141" w:rsidRPr="00BB3B91" w:rsidTr="00C91B1D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p w:rsidR="00B94141" w:rsidRPr="00FD7698" w:rsidRDefault="00B94141" w:rsidP="00154631">
          <w:pPr>
            <w:pStyle w:val="BPbarcode"/>
            <w:ind w:left="426"/>
            <w:rPr>
              <w:rFonts w:ascii="Arial Narrow" w:hAnsi="Arial Narrow"/>
            </w:rPr>
          </w:pPr>
        </w:p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94141" w:rsidRPr="008D1187" w:rsidRDefault="00B94141" w:rsidP="006D33A8">
          <w:pPr>
            <w:pStyle w:val="BPiktatcm"/>
          </w:pP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B94141" w:rsidRPr="003A32FC" w:rsidRDefault="00B94141" w:rsidP="00154631">
          <w:pPr>
            <w:pStyle w:val="BPiktatadat"/>
          </w:pPr>
        </w:p>
      </w:tc>
    </w:tr>
  </w:tbl>
  <w:p w:rsidR="00B94141" w:rsidRDefault="00094FD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0" b="0"/>
          <wp:wrapNone/>
          <wp:docPr id="1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84F64E"/>
    <w:lvl w:ilvl="0">
      <w:numFmt w:val="bullet"/>
      <w:lvlText w:val="*"/>
      <w:lvlJc w:val="left"/>
    </w:lvl>
  </w:abstractNum>
  <w:abstractNum w:abstractNumId="1" w15:restartNumberingAfterBreak="0">
    <w:nsid w:val="21365E43"/>
    <w:multiLevelType w:val="multilevel"/>
    <w:tmpl w:val="07244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C40B03"/>
    <w:multiLevelType w:val="multilevel"/>
    <w:tmpl w:val="3778453C"/>
    <w:styleLink w:val="Stlus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11B5C"/>
    <w:multiLevelType w:val="multilevel"/>
    <w:tmpl w:val="F926DAD8"/>
    <w:styleLink w:val="Stlus1"/>
    <w:lvl w:ilvl="0">
      <w:start w:val="1"/>
      <w:numFmt w:val="none"/>
      <w:lvlText w:val="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D73C22"/>
    <w:multiLevelType w:val="multilevel"/>
    <w:tmpl w:val="3778453C"/>
    <w:numStyleLink w:val="Stlus2"/>
  </w:abstractNum>
  <w:abstractNum w:abstractNumId="6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075C0"/>
    <w:multiLevelType w:val="multilevel"/>
    <w:tmpl w:val="040E001D"/>
    <w:styleLink w:val="Stlus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0C694B"/>
    <w:multiLevelType w:val="hybridMultilevel"/>
    <w:tmpl w:val="8FFEAD6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3DC9"/>
    <w:multiLevelType w:val="hybridMultilevel"/>
    <w:tmpl w:val="7C9CFB04"/>
    <w:lvl w:ilvl="0" w:tplc="F452957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D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7D64E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1D2FFE"/>
    <w:multiLevelType w:val="hybridMultilevel"/>
    <w:tmpl w:val="9DDED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24ED"/>
    <w:rsid w:val="00003960"/>
    <w:rsid w:val="00015A2F"/>
    <w:rsid w:val="000205AC"/>
    <w:rsid w:val="000208F8"/>
    <w:rsid w:val="00020E73"/>
    <w:rsid w:val="0002146C"/>
    <w:rsid w:val="00023286"/>
    <w:rsid w:val="00023562"/>
    <w:rsid w:val="000238D4"/>
    <w:rsid w:val="00025AD4"/>
    <w:rsid w:val="00026674"/>
    <w:rsid w:val="00027582"/>
    <w:rsid w:val="00027764"/>
    <w:rsid w:val="000279F4"/>
    <w:rsid w:val="00027E85"/>
    <w:rsid w:val="00027EB8"/>
    <w:rsid w:val="0003044E"/>
    <w:rsid w:val="00031EE3"/>
    <w:rsid w:val="0003249D"/>
    <w:rsid w:val="000324E8"/>
    <w:rsid w:val="00044463"/>
    <w:rsid w:val="00044D73"/>
    <w:rsid w:val="00045D00"/>
    <w:rsid w:val="000472D4"/>
    <w:rsid w:val="000475D8"/>
    <w:rsid w:val="00051781"/>
    <w:rsid w:val="000523FA"/>
    <w:rsid w:val="00052F5F"/>
    <w:rsid w:val="00053D85"/>
    <w:rsid w:val="000572B1"/>
    <w:rsid w:val="0006029D"/>
    <w:rsid w:val="00067C1D"/>
    <w:rsid w:val="0007538F"/>
    <w:rsid w:val="0007707F"/>
    <w:rsid w:val="0008332B"/>
    <w:rsid w:val="000834FA"/>
    <w:rsid w:val="00087A0A"/>
    <w:rsid w:val="00094FD0"/>
    <w:rsid w:val="0009613F"/>
    <w:rsid w:val="000978BA"/>
    <w:rsid w:val="000A1A1F"/>
    <w:rsid w:val="000A21AD"/>
    <w:rsid w:val="000A513C"/>
    <w:rsid w:val="000A6FCC"/>
    <w:rsid w:val="000B29C6"/>
    <w:rsid w:val="000B3908"/>
    <w:rsid w:val="000B4D79"/>
    <w:rsid w:val="000B5409"/>
    <w:rsid w:val="000C0BEB"/>
    <w:rsid w:val="000C1E00"/>
    <w:rsid w:val="000C2E11"/>
    <w:rsid w:val="000D1DB3"/>
    <w:rsid w:val="000D29D3"/>
    <w:rsid w:val="000D497C"/>
    <w:rsid w:val="000D5002"/>
    <w:rsid w:val="000D747C"/>
    <w:rsid w:val="000D7F5C"/>
    <w:rsid w:val="000E1C53"/>
    <w:rsid w:val="000E30D3"/>
    <w:rsid w:val="000E3CA8"/>
    <w:rsid w:val="000E7589"/>
    <w:rsid w:val="000F0922"/>
    <w:rsid w:val="000F1A9B"/>
    <w:rsid w:val="000F5626"/>
    <w:rsid w:val="00100C5D"/>
    <w:rsid w:val="001045D7"/>
    <w:rsid w:val="00104A4C"/>
    <w:rsid w:val="00104BF8"/>
    <w:rsid w:val="001058EB"/>
    <w:rsid w:val="0010647F"/>
    <w:rsid w:val="00107D46"/>
    <w:rsid w:val="00111558"/>
    <w:rsid w:val="00111D92"/>
    <w:rsid w:val="00111EAB"/>
    <w:rsid w:val="00112D11"/>
    <w:rsid w:val="00112DA1"/>
    <w:rsid w:val="001156EB"/>
    <w:rsid w:val="001214C0"/>
    <w:rsid w:val="001260A0"/>
    <w:rsid w:val="00126A06"/>
    <w:rsid w:val="0012711D"/>
    <w:rsid w:val="001308DF"/>
    <w:rsid w:val="00132C1F"/>
    <w:rsid w:val="00137F28"/>
    <w:rsid w:val="0014023D"/>
    <w:rsid w:val="00143C16"/>
    <w:rsid w:val="00144569"/>
    <w:rsid w:val="0014547C"/>
    <w:rsid w:val="00145ECE"/>
    <w:rsid w:val="001513B7"/>
    <w:rsid w:val="00153351"/>
    <w:rsid w:val="00153851"/>
    <w:rsid w:val="00154631"/>
    <w:rsid w:val="00156007"/>
    <w:rsid w:val="00162774"/>
    <w:rsid w:val="001634CF"/>
    <w:rsid w:val="00163A10"/>
    <w:rsid w:val="0016425C"/>
    <w:rsid w:val="001647EE"/>
    <w:rsid w:val="00167925"/>
    <w:rsid w:val="001740BC"/>
    <w:rsid w:val="001753A7"/>
    <w:rsid w:val="001777E5"/>
    <w:rsid w:val="00180DFD"/>
    <w:rsid w:val="00181F81"/>
    <w:rsid w:val="00183AA5"/>
    <w:rsid w:val="00184820"/>
    <w:rsid w:val="0018646A"/>
    <w:rsid w:val="0019711C"/>
    <w:rsid w:val="001A2AA0"/>
    <w:rsid w:val="001A2F03"/>
    <w:rsid w:val="001A2FB7"/>
    <w:rsid w:val="001A32FC"/>
    <w:rsid w:val="001A3F6F"/>
    <w:rsid w:val="001A565E"/>
    <w:rsid w:val="001A5FC4"/>
    <w:rsid w:val="001A78E7"/>
    <w:rsid w:val="001B2E61"/>
    <w:rsid w:val="001B2F06"/>
    <w:rsid w:val="001C2D15"/>
    <w:rsid w:val="001C6175"/>
    <w:rsid w:val="001C662D"/>
    <w:rsid w:val="001C7080"/>
    <w:rsid w:val="001C793C"/>
    <w:rsid w:val="001C7C4B"/>
    <w:rsid w:val="001D0C17"/>
    <w:rsid w:val="001D2C47"/>
    <w:rsid w:val="001D5072"/>
    <w:rsid w:val="001D647A"/>
    <w:rsid w:val="001D6A9E"/>
    <w:rsid w:val="001D74DB"/>
    <w:rsid w:val="001D7F22"/>
    <w:rsid w:val="001E0175"/>
    <w:rsid w:val="001E1849"/>
    <w:rsid w:val="001E1EC8"/>
    <w:rsid w:val="001E2B86"/>
    <w:rsid w:val="001E3D39"/>
    <w:rsid w:val="001E3E67"/>
    <w:rsid w:val="001E53D3"/>
    <w:rsid w:val="001E6D7F"/>
    <w:rsid w:val="001E7744"/>
    <w:rsid w:val="001E7A44"/>
    <w:rsid w:val="001F0CDF"/>
    <w:rsid w:val="001F4240"/>
    <w:rsid w:val="001F63F5"/>
    <w:rsid w:val="001F76DA"/>
    <w:rsid w:val="00200064"/>
    <w:rsid w:val="00200539"/>
    <w:rsid w:val="00201AAB"/>
    <w:rsid w:val="00202B33"/>
    <w:rsid w:val="00206801"/>
    <w:rsid w:val="00207F40"/>
    <w:rsid w:val="00211113"/>
    <w:rsid w:val="002111C7"/>
    <w:rsid w:val="002116EC"/>
    <w:rsid w:val="00212506"/>
    <w:rsid w:val="00213467"/>
    <w:rsid w:val="00214BDF"/>
    <w:rsid w:val="00215BB0"/>
    <w:rsid w:val="00216CB3"/>
    <w:rsid w:val="00217895"/>
    <w:rsid w:val="00220DB4"/>
    <w:rsid w:val="00220E15"/>
    <w:rsid w:val="00220EAA"/>
    <w:rsid w:val="002216ED"/>
    <w:rsid w:val="0022576A"/>
    <w:rsid w:val="00225F6D"/>
    <w:rsid w:val="0022788A"/>
    <w:rsid w:val="002311C7"/>
    <w:rsid w:val="002328CC"/>
    <w:rsid w:val="00236036"/>
    <w:rsid w:val="0023647A"/>
    <w:rsid w:val="00241DAB"/>
    <w:rsid w:val="00241E11"/>
    <w:rsid w:val="002444CE"/>
    <w:rsid w:val="002466BE"/>
    <w:rsid w:val="00250CDC"/>
    <w:rsid w:val="00254434"/>
    <w:rsid w:val="00254973"/>
    <w:rsid w:val="0026276C"/>
    <w:rsid w:val="00262C6F"/>
    <w:rsid w:val="002651A4"/>
    <w:rsid w:val="00271B1B"/>
    <w:rsid w:val="00275336"/>
    <w:rsid w:val="00276F5E"/>
    <w:rsid w:val="00281277"/>
    <w:rsid w:val="0028162D"/>
    <w:rsid w:val="00283ADA"/>
    <w:rsid w:val="0028419C"/>
    <w:rsid w:val="0028602B"/>
    <w:rsid w:val="00292183"/>
    <w:rsid w:val="00296863"/>
    <w:rsid w:val="00296B73"/>
    <w:rsid w:val="00297B2E"/>
    <w:rsid w:val="002A142E"/>
    <w:rsid w:val="002A1647"/>
    <w:rsid w:val="002A2900"/>
    <w:rsid w:val="002B0552"/>
    <w:rsid w:val="002B14B2"/>
    <w:rsid w:val="002B1782"/>
    <w:rsid w:val="002B36BC"/>
    <w:rsid w:val="002B3AB4"/>
    <w:rsid w:val="002B4528"/>
    <w:rsid w:val="002B7F3F"/>
    <w:rsid w:val="002C00FA"/>
    <w:rsid w:val="002C060E"/>
    <w:rsid w:val="002C3A60"/>
    <w:rsid w:val="002C4084"/>
    <w:rsid w:val="002C6A8B"/>
    <w:rsid w:val="002C7AEE"/>
    <w:rsid w:val="002D076F"/>
    <w:rsid w:val="002D1D68"/>
    <w:rsid w:val="002D2691"/>
    <w:rsid w:val="002D3EEF"/>
    <w:rsid w:val="002D5708"/>
    <w:rsid w:val="002D57EC"/>
    <w:rsid w:val="002D5B31"/>
    <w:rsid w:val="002D5F91"/>
    <w:rsid w:val="002D7C44"/>
    <w:rsid w:val="002E0ADD"/>
    <w:rsid w:val="002E19D0"/>
    <w:rsid w:val="002E1E45"/>
    <w:rsid w:val="002E5C6A"/>
    <w:rsid w:val="002F04C3"/>
    <w:rsid w:val="002F214C"/>
    <w:rsid w:val="002F545F"/>
    <w:rsid w:val="002F7137"/>
    <w:rsid w:val="002F794E"/>
    <w:rsid w:val="0030144B"/>
    <w:rsid w:val="003021A7"/>
    <w:rsid w:val="0030246B"/>
    <w:rsid w:val="00302881"/>
    <w:rsid w:val="00305F29"/>
    <w:rsid w:val="003134C6"/>
    <w:rsid w:val="0031513F"/>
    <w:rsid w:val="0031703B"/>
    <w:rsid w:val="0032123A"/>
    <w:rsid w:val="003219F9"/>
    <w:rsid w:val="00322BF8"/>
    <w:rsid w:val="0033094B"/>
    <w:rsid w:val="00336B48"/>
    <w:rsid w:val="0033759C"/>
    <w:rsid w:val="0034056B"/>
    <w:rsid w:val="00341432"/>
    <w:rsid w:val="00352DC7"/>
    <w:rsid w:val="0035440A"/>
    <w:rsid w:val="003550B8"/>
    <w:rsid w:val="00357C97"/>
    <w:rsid w:val="003626C7"/>
    <w:rsid w:val="003632EB"/>
    <w:rsid w:val="00363494"/>
    <w:rsid w:val="0036411B"/>
    <w:rsid w:val="003701AF"/>
    <w:rsid w:val="00375D5D"/>
    <w:rsid w:val="00377A08"/>
    <w:rsid w:val="0038019E"/>
    <w:rsid w:val="003814B3"/>
    <w:rsid w:val="00382BAB"/>
    <w:rsid w:val="00385F13"/>
    <w:rsid w:val="00386BF0"/>
    <w:rsid w:val="003928F2"/>
    <w:rsid w:val="00394C0B"/>
    <w:rsid w:val="003975AF"/>
    <w:rsid w:val="00397CDA"/>
    <w:rsid w:val="003A0288"/>
    <w:rsid w:val="003A2655"/>
    <w:rsid w:val="003A32FC"/>
    <w:rsid w:val="003A5270"/>
    <w:rsid w:val="003A6598"/>
    <w:rsid w:val="003A770F"/>
    <w:rsid w:val="003B2031"/>
    <w:rsid w:val="003B485B"/>
    <w:rsid w:val="003B7480"/>
    <w:rsid w:val="003C352D"/>
    <w:rsid w:val="003C5212"/>
    <w:rsid w:val="003D589A"/>
    <w:rsid w:val="003D6592"/>
    <w:rsid w:val="003D693F"/>
    <w:rsid w:val="003E0857"/>
    <w:rsid w:val="003E31B3"/>
    <w:rsid w:val="003E624E"/>
    <w:rsid w:val="003F2851"/>
    <w:rsid w:val="003F36FB"/>
    <w:rsid w:val="003F5C8A"/>
    <w:rsid w:val="003F6250"/>
    <w:rsid w:val="003F7B2E"/>
    <w:rsid w:val="00400A73"/>
    <w:rsid w:val="00400B1B"/>
    <w:rsid w:val="0040201B"/>
    <w:rsid w:val="00402412"/>
    <w:rsid w:val="00403E87"/>
    <w:rsid w:val="0040594D"/>
    <w:rsid w:val="0040795D"/>
    <w:rsid w:val="00407CF5"/>
    <w:rsid w:val="00413FB3"/>
    <w:rsid w:val="004140B0"/>
    <w:rsid w:val="00415144"/>
    <w:rsid w:val="00415F17"/>
    <w:rsid w:val="004212A8"/>
    <w:rsid w:val="00423897"/>
    <w:rsid w:val="00423C1A"/>
    <w:rsid w:val="00427D41"/>
    <w:rsid w:val="0043066F"/>
    <w:rsid w:val="00430D4B"/>
    <w:rsid w:val="00431D09"/>
    <w:rsid w:val="00433271"/>
    <w:rsid w:val="00437FF1"/>
    <w:rsid w:val="00444D86"/>
    <w:rsid w:val="00445C3D"/>
    <w:rsid w:val="00446016"/>
    <w:rsid w:val="00446CEC"/>
    <w:rsid w:val="00447180"/>
    <w:rsid w:val="00451111"/>
    <w:rsid w:val="004526DB"/>
    <w:rsid w:val="0045323E"/>
    <w:rsid w:val="00453356"/>
    <w:rsid w:val="004558BB"/>
    <w:rsid w:val="004558FE"/>
    <w:rsid w:val="00455F96"/>
    <w:rsid w:val="00461230"/>
    <w:rsid w:val="00463ECF"/>
    <w:rsid w:val="00467A7D"/>
    <w:rsid w:val="0047185F"/>
    <w:rsid w:val="00473243"/>
    <w:rsid w:val="0047360B"/>
    <w:rsid w:val="00474038"/>
    <w:rsid w:val="00480109"/>
    <w:rsid w:val="004802F8"/>
    <w:rsid w:val="00480FA8"/>
    <w:rsid w:val="00485E46"/>
    <w:rsid w:val="00490854"/>
    <w:rsid w:val="0049110C"/>
    <w:rsid w:val="00491F88"/>
    <w:rsid w:val="00493636"/>
    <w:rsid w:val="00496A1A"/>
    <w:rsid w:val="004A0BC2"/>
    <w:rsid w:val="004A128B"/>
    <w:rsid w:val="004A1320"/>
    <w:rsid w:val="004A3A23"/>
    <w:rsid w:val="004A3C59"/>
    <w:rsid w:val="004A423F"/>
    <w:rsid w:val="004B103D"/>
    <w:rsid w:val="004B20B6"/>
    <w:rsid w:val="004C3602"/>
    <w:rsid w:val="004C599C"/>
    <w:rsid w:val="004C651E"/>
    <w:rsid w:val="004C65F2"/>
    <w:rsid w:val="004D180A"/>
    <w:rsid w:val="004D48DF"/>
    <w:rsid w:val="004D49D4"/>
    <w:rsid w:val="004D612C"/>
    <w:rsid w:val="004D6563"/>
    <w:rsid w:val="004D7A73"/>
    <w:rsid w:val="004E5763"/>
    <w:rsid w:val="004E6074"/>
    <w:rsid w:val="004E6C6B"/>
    <w:rsid w:val="004E7D10"/>
    <w:rsid w:val="004F3C7D"/>
    <w:rsid w:val="00500703"/>
    <w:rsid w:val="0050177E"/>
    <w:rsid w:val="00505247"/>
    <w:rsid w:val="00505941"/>
    <w:rsid w:val="00507BA6"/>
    <w:rsid w:val="00511DEF"/>
    <w:rsid w:val="00512584"/>
    <w:rsid w:val="00512BE3"/>
    <w:rsid w:val="00514441"/>
    <w:rsid w:val="00514CB7"/>
    <w:rsid w:val="005176E2"/>
    <w:rsid w:val="00520C73"/>
    <w:rsid w:val="00523FE7"/>
    <w:rsid w:val="005302F8"/>
    <w:rsid w:val="00530D64"/>
    <w:rsid w:val="00531BCB"/>
    <w:rsid w:val="005337D3"/>
    <w:rsid w:val="00535135"/>
    <w:rsid w:val="00535CCF"/>
    <w:rsid w:val="0053632D"/>
    <w:rsid w:val="00540751"/>
    <w:rsid w:val="00540BBC"/>
    <w:rsid w:val="005466CE"/>
    <w:rsid w:val="005500B7"/>
    <w:rsid w:val="00554E06"/>
    <w:rsid w:val="0055529F"/>
    <w:rsid w:val="00560A60"/>
    <w:rsid w:val="00560B96"/>
    <w:rsid w:val="0056374C"/>
    <w:rsid w:val="00571E6F"/>
    <w:rsid w:val="005726F3"/>
    <w:rsid w:val="0057275F"/>
    <w:rsid w:val="005729A5"/>
    <w:rsid w:val="005813B4"/>
    <w:rsid w:val="00585530"/>
    <w:rsid w:val="00585783"/>
    <w:rsid w:val="00585C61"/>
    <w:rsid w:val="005A485F"/>
    <w:rsid w:val="005B13BA"/>
    <w:rsid w:val="005B2B60"/>
    <w:rsid w:val="005B3E0B"/>
    <w:rsid w:val="005B5F4E"/>
    <w:rsid w:val="005B71D6"/>
    <w:rsid w:val="005B7C1A"/>
    <w:rsid w:val="005C0BEE"/>
    <w:rsid w:val="005C0C55"/>
    <w:rsid w:val="005C4972"/>
    <w:rsid w:val="005C571E"/>
    <w:rsid w:val="005C6311"/>
    <w:rsid w:val="005C6873"/>
    <w:rsid w:val="005C7B5C"/>
    <w:rsid w:val="005D107E"/>
    <w:rsid w:val="005D1CB4"/>
    <w:rsid w:val="005D45AA"/>
    <w:rsid w:val="005D45CF"/>
    <w:rsid w:val="005D7D2F"/>
    <w:rsid w:val="005E01A7"/>
    <w:rsid w:val="005E05CF"/>
    <w:rsid w:val="005E31E9"/>
    <w:rsid w:val="005E52DB"/>
    <w:rsid w:val="005E5EF1"/>
    <w:rsid w:val="005E6674"/>
    <w:rsid w:val="005E7B92"/>
    <w:rsid w:val="005F4ED8"/>
    <w:rsid w:val="005F52E2"/>
    <w:rsid w:val="005F56D0"/>
    <w:rsid w:val="005F5A2F"/>
    <w:rsid w:val="005F6B64"/>
    <w:rsid w:val="005F7E65"/>
    <w:rsid w:val="006009C0"/>
    <w:rsid w:val="00603E34"/>
    <w:rsid w:val="00604A54"/>
    <w:rsid w:val="00610EA5"/>
    <w:rsid w:val="00611F80"/>
    <w:rsid w:val="00614E0B"/>
    <w:rsid w:val="00615143"/>
    <w:rsid w:val="0062293D"/>
    <w:rsid w:val="00623EC4"/>
    <w:rsid w:val="00624F3A"/>
    <w:rsid w:val="00626218"/>
    <w:rsid w:val="0062652F"/>
    <w:rsid w:val="006273A9"/>
    <w:rsid w:val="00631DF0"/>
    <w:rsid w:val="00631F8F"/>
    <w:rsid w:val="00632DE4"/>
    <w:rsid w:val="006336E5"/>
    <w:rsid w:val="00634509"/>
    <w:rsid w:val="00635A20"/>
    <w:rsid w:val="00640349"/>
    <w:rsid w:val="006411BC"/>
    <w:rsid w:val="006414CE"/>
    <w:rsid w:val="0064238D"/>
    <w:rsid w:val="0064310E"/>
    <w:rsid w:val="006433BC"/>
    <w:rsid w:val="0064681E"/>
    <w:rsid w:val="00650A97"/>
    <w:rsid w:val="00656016"/>
    <w:rsid w:val="00657078"/>
    <w:rsid w:val="006570AC"/>
    <w:rsid w:val="00661990"/>
    <w:rsid w:val="00661AF9"/>
    <w:rsid w:val="00662635"/>
    <w:rsid w:val="006629DD"/>
    <w:rsid w:val="006732F1"/>
    <w:rsid w:val="00675E69"/>
    <w:rsid w:val="00682CB9"/>
    <w:rsid w:val="0068578E"/>
    <w:rsid w:val="006900CB"/>
    <w:rsid w:val="00694235"/>
    <w:rsid w:val="0069708E"/>
    <w:rsid w:val="006A7710"/>
    <w:rsid w:val="006B4130"/>
    <w:rsid w:val="006B4F01"/>
    <w:rsid w:val="006B6295"/>
    <w:rsid w:val="006C122D"/>
    <w:rsid w:val="006C4FE9"/>
    <w:rsid w:val="006C50E7"/>
    <w:rsid w:val="006C7E1B"/>
    <w:rsid w:val="006D33A8"/>
    <w:rsid w:val="006D3E84"/>
    <w:rsid w:val="006D58B8"/>
    <w:rsid w:val="006D7F37"/>
    <w:rsid w:val="006E4E9D"/>
    <w:rsid w:val="006F2377"/>
    <w:rsid w:val="006F25AB"/>
    <w:rsid w:val="006F6B6B"/>
    <w:rsid w:val="00700F3B"/>
    <w:rsid w:val="00701EC8"/>
    <w:rsid w:val="00704E2E"/>
    <w:rsid w:val="00710680"/>
    <w:rsid w:val="0071099D"/>
    <w:rsid w:val="0071377A"/>
    <w:rsid w:val="007156AC"/>
    <w:rsid w:val="00715F0F"/>
    <w:rsid w:val="00720E2A"/>
    <w:rsid w:val="0072111A"/>
    <w:rsid w:val="00723A5C"/>
    <w:rsid w:val="00723B8B"/>
    <w:rsid w:val="00723BD0"/>
    <w:rsid w:val="0073041B"/>
    <w:rsid w:val="00731E63"/>
    <w:rsid w:val="00735D1C"/>
    <w:rsid w:val="00736529"/>
    <w:rsid w:val="00740966"/>
    <w:rsid w:val="007432C4"/>
    <w:rsid w:val="00746AD6"/>
    <w:rsid w:val="0075065A"/>
    <w:rsid w:val="0075227F"/>
    <w:rsid w:val="007524F6"/>
    <w:rsid w:val="00752529"/>
    <w:rsid w:val="007544BC"/>
    <w:rsid w:val="00755F7E"/>
    <w:rsid w:val="00760019"/>
    <w:rsid w:val="007600A9"/>
    <w:rsid w:val="0076187B"/>
    <w:rsid w:val="00762648"/>
    <w:rsid w:val="0076359B"/>
    <w:rsid w:val="00764067"/>
    <w:rsid w:val="00764E1B"/>
    <w:rsid w:val="0077035F"/>
    <w:rsid w:val="00770C74"/>
    <w:rsid w:val="00773716"/>
    <w:rsid w:val="007775B1"/>
    <w:rsid w:val="00780907"/>
    <w:rsid w:val="00783AA4"/>
    <w:rsid w:val="00790306"/>
    <w:rsid w:val="00790856"/>
    <w:rsid w:val="00790B5C"/>
    <w:rsid w:val="00791DE4"/>
    <w:rsid w:val="00792FF3"/>
    <w:rsid w:val="00793654"/>
    <w:rsid w:val="007936E5"/>
    <w:rsid w:val="007966E2"/>
    <w:rsid w:val="007A1371"/>
    <w:rsid w:val="007A5996"/>
    <w:rsid w:val="007A5B0B"/>
    <w:rsid w:val="007A5DF7"/>
    <w:rsid w:val="007A6F83"/>
    <w:rsid w:val="007B2185"/>
    <w:rsid w:val="007B34B0"/>
    <w:rsid w:val="007B3F70"/>
    <w:rsid w:val="007B7291"/>
    <w:rsid w:val="007C0090"/>
    <w:rsid w:val="007C1BEC"/>
    <w:rsid w:val="007C1C66"/>
    <w:rsid w:val="007C31E1"/>
    <w:rsid w:val="007C35BF"/>
    <w:rsid w:val="007D0186"/>
    <w:rsid w:val="007D190B"/>
    <w:rsid w:val="007D34C6"/>
    <w:rsid w:val="007D3733"/>
    <w:rsid w:val="007D58FD"/>
    <w:rsid w:val="007D7CF4"/>
    <w:rsid w:val="007E396C"/>
    <w:rsid w:val="007F0AB2"/>
    <w:rsid w:val="007F2293"/>
    <w:rsid w:val="007F23C1"/>
    <w:rsid w:val="007F369C"/>
    <w:rsid w:val="007F5034"/>
    <w:rsid w:val="007F5171"/>
    <w:rsid w:val="00800F13"/>
    <w:rsid w:val="00801AC7"/>
    <w:rsid w:val="00804559"/>
    <w:rsid w:val="0080577E"/>
    <w:rsid w:val="0081139C"/>
    <w:rsid w:val="0081491C"/>
    <w:rsid w:val="008149EB"/>
    <w:rsid w:val="00815EF9"/>
    <w:rsid w:val="00817CBB"/>
    <w:rsid w:val="00823C0C"/>
    <w:rsid w:val="008245A3"/>
    <w:rsid w:val="00824EE2"/>
    <w:rsid w:val="008278F8"/>
    <w:rsid w:val="00827AED"/>
    <w:rsid w:val="008306E5"/>
    <w:rsid w:val="00832BBA"/>
    <w:rsid w:val="00835883"/>
    <w:rsid w:val="008405DF"/>
    <w:rsid w:val="008433B2"/>
    <w:rsid w:val="00851253"/>
    <w:rsid w:val="008527C9"/>
    <w:rsid w:val="008532DA"/>
    <w:rsid w:val="0085531B"/>
    <w:rsid w:val="008557DB"/>
    <w:rsid w:val="00862217"/>
    <w:rsid w:val="008623FA"/>
    <w:rsid w:val="00862C4B"/>
    <w:rsid w:val="00863A7E"/>
    <w:rsid w:val="00867D6C"/>
    <w:rsid w:val="00870A9F"/>
    <w:rsid w:val="00871FB5"/>
    <w:rsid w:val="00872130"/>
    <w:rsid w:val="008724B2"/>
    <w:rsid w:val="00874AB6"/>
    <w:rsid w:val="00877E87"/>
    <w:rsid w:val="00884031"/>
    <w:rsid w:val="008855C1"/>
    <w:rsid w:val="008864EA"/>
    <w:rsid w:val="00890622"/>
    <w:rsid w:val="00891B4A"/>
    <w:rsid w:val="008A05C9"/>
    <w:rsid w:val="008A762A"/>
    <w:rsid w:val="008B142A"/>
    <w:rsid w:val="008B3B87"/>
    <w:rsid w:val="008B524B"/>
    <w:rsid w:val="008B5DD3"/>
    <w:rsid w:val="008C02E3"/>
    <w:rsid w:val="008C3F74"/>
    <w:rsid w:val="008C477C"/>
    <w:rsid w:val="008C5C30"/>
    <w:rsid w:val="008D1187"/>
    <w:rsid w:val="008D126A"/>
    <w:rsid w:val="008D15A3"/>
    <w:rsid w:val="008E1FEE"/>
    <w:rsid w:val="008E27F0"/>
    <w:rsid w:val="008E3CCC"/>
    <w:rsid w:val="008E3F6B"/>
    <w:rsid w:val="008E652B"/>
    <w:rsid w:val="008E6943"/>
    <w:rsid w:val="008E7AB0"/>
    <w:rsid w:val="008F2174"/>
    <w:rsid w:val="008F2878"/>
    <w:rsid w:val="008F4649"/>
    <w:rsid w:val="008F5C37"/>
    <w:rsid w:val="008F7244"/>
    <w:rsid w:val="00900390"/>
    <w:rsid w:val="009006F3"/>
    <w:rsid w:val="00903A26"/>
    <w:rsid w:val="0090520D"/>
    <w:rsid w:val="0090590C"/>
    <w:rsid w:val="00905A94"/>
    <w:rsid w:val="009073EE"/>
    <w:rsid w:val="0090741B"/>
    <w:rsid w:val="009074CA"/>
    <w:rsid w:val="00911296"/>
    <w:rsid w:val="009138E2"/>
    <w:rsid w:val="00914318"/>
    <w:rsid w:val="00920F96"/>
    <w:rsid w:val="00920FE9"/>
    <w:rsid w:val="00921E01"/>
    <w:rsid w:val="009255CD"/>
    <w:rsid w:val="00925C2D"/>
    <w:rsid w:val="0093017A"/>
    <w:rsid w:val="00933386"/>
    <w:rsid w:val="00933646"/>
    <w:rsid w:val="00940027"/>
    <w:rsid w:val="00940719"/>
    <w:rsid w:val="00940C0B"/>
    <w:rsid w:val="00942530"/>
    <w:rsid w:val="009469AD"/>
    <w:rsid w:val="00946C7E"/>
    <w:rsid w:val="009509C3"/>
    <w:rsid w:val="00956B1E"/>
    <w:rsid w:val="00956D20"/>
    <w:rsid w:val="00960293"/>
    <w:rsid w:val="00961E40"/>
    <w:rsid w:val="009620C5"/>
    <w:rsid w:val="00964BBE"/>
    <w:rsid w:val="00964F1B"/>
    <w:rsid w:val="00966C02"/>
    <w:rsid w:val="00972920"/>
    <w:rsid w:val="009756D9"/>
    <w:rsid w:val="00975B2E"/>
    <w:rsid w:val="00977006"/>
    <w:rsid w:val="00980950"/>
    <w:rsid w:val="00981DEC"/>
    <w:rsid w:val="00981F30"/>
    <w:rsid w:val="00983086"/>
    <w:rsid w:val="009850AE"/>
    <w:rsid w:val="00990D28"/>
    <w:rsid w:val="00991992"/>
    <w:rsid w:val="009B0520"/>
    <w:rsid w:val="009B122E"/>
    <w:rsid w:val="009B1445"/>
    <w:rsid w:val="009B3A83"/>
    <w:rsid w:val="009B3F92"/>
    <w:rsid w:val="009B516A"/>
    <w:rsid w:val="009C168C"/>
    <w:rsid w:val="009C5AAE"/>
    <w:rsid w:val="009C67E4"/>
    <w:rsid w:val="009C6F58"/>
    <w:rsid w:val="009C79EF"/>
    <w:rsid w:val="009D0393"/>
    <w:rsid w:val="009D23B0"/>
    <w:rsid w:val="009D323F"/>
    <w:rsid w:val="009D7E3C"/>
    <w:rsid w:val="009E02FF"/>
    <w:rsid w:val="009E1F84"/>
    <w:rsid w:val="009E362B"/>
    <w:rsid w:val="009E448E"/>
    <w:rsid w:val="009E5B65"/>
    <w:rsid w:val="009F08D5"/>
    <w:rsid w:val="009F0DF0"/>
    <w:rsid w:val="009F17D3"/>
    <w:rsid w:val="009F340E"/>
    <w:rsid w:val="00A0139D"/>
    <w:rsid w:val="00A014D8"/>
    <w:rsid w:val="00A05A1D"/>
    <w:rsid w:val="00A07BAF"/>
    <w:rsid w:val="00A07C1C"/>
    <w:rsid w:val="00A12B83"/>
    <w:rsid w:val="00A15AD5"/>
    <w:rsid w:val="00A16065"/>
    <w:rsid w:val="00A168D1"/>
    <w:rsid w:val="00A1752C"/>
    <w:rsid w:val="00A23D88"/>
    <w:rsid w:val="00A251CB"/>
    <w:rsid w:val="00A276A5"/>
    <w:rsid w:val="00A30E4B"/>
    <w:rsid w:val="00A31197"/>
    <w:rsid w:val="00A3340E"/>
    <w:rsid w:val="00A3400A"/>
    <w:rsid w:val="00A340A2"/>
    <w:rsid w:val="00A35E26"/>
    <w:rsid w:val="00A40747"/>
    <w:rsid w:val="00A421C4"/>
    <w:rsid w:val="00A4321B"/>
    <w:rsid w:val="00A4436A"/>
    <w:rsid w:val="00A46999"/>
    <w:rsid w:val="00A5047A"/>
    <w:rsid w:val="00A506A3"/>
    <w:rsid w:val="00A51339"/>
    <w:rsid w:val="00A51A0E"/>
    <w:rsid w:val="00A537A8"/>
    <w:rsid w:val="00A542DF"/>
    <w:rsid w:val="00A6143B"/>
    <w:rsid w:val="00A6191F"/>
    <w:rsid w:val="00A62E6D"/>
    <w:rsid w:val="00A635B0"/>
    <w:rsid w:val="00A65157"/>
    <w:rsid w:val="00A65353"/>
    <w:rsid w:val="00A65679"/>
    <w:rsid w:val="00A666D9"/>
    <w:rsid w:val="00A72C06"/>
    <w:rsid w:val="00A736D9"/>
    <w:rsid w:val="00A74015"/>
    <w:rsid w:val="00A761FB"/>
    <w:rsid w:val="00A77843"/>
    <w:rsid w:val="00A77937"/>
    <w:rsid w:val="00A80A5F"/>
    <w:rsid w:val="00A81220"/>
    <w:rsid w:val="00A82EEC"/>
    <w:rsid w:val="00A8571B"/>
    <w:rsid w:val="00A862C5"/>
    <w:rsid w:val="00A86AA5"/>
    <w:rsid w:val="00A86DE4"/>
    <w:rsid w:val="00A8718E"/>
    <w:rsid w:val="00A9073D"/>
    <w:rsid w:val="00A919EB"/>
    <w:rsid w:val="00A94E5B"/>
    <w:rsid w:val="00AA38F3"/>
    <w:rsid w:val="00AA4357"/>
    <w:rsid w:val="00AA6566"/>
    <w:rsid w:val="00AB0DCA"/>
    <w:rsid w:val="00AB1185"/>
    <w:rsid w:val="00AC00DB"/>
    <w:rsid w:val="00AC087D"/>
    <w:rsid w:val="00AC0E1E"/>
    <w:rsid w:val="00AC2161"/>
    <w:rsid w:val="00AC2F60"/>
    <w:rsid w:val="00AC56D4"/>
    <w:rsid w:val="00AD0156"/>
    <w:rsid w:val="00AD0BFD"/>
    <w:rsid w:val="00AD16F4"/>
    <w:rsid w:val="00AD22FE"/>
    <w:rsid w:val="00AD2762"/>
    <w:rsid w:val="00AE1720"/>
    <w:rsid w:val="00AE4B65"/>
    <w:rsid w:val="00AE646D"/>
    <w:rsid w:val="00AE6952"/>
    <w:rsid w:val="00AE74E0"/>
    <w:rsid w:val="00AF1C43"/>
    <w:rsid w:val="00AF31EB"/>
    <w:rsid w:val="00AF5505"/>
    <w:rsid w:val="00AF65BC"/>
    <w:rsid w:val="00AF6BA9"/>
    <w:rsid w:val="00AF7694"/>
    <w:rsid w:val="00B1031C"/>
    <w:rsid w:val="00B14DCA"/>
    <w:rsid w:val="00B15D22"/>
    <w:rsid w:val="00B177AD"/>
    <w:rsid w:val="00B20B0B"/>
    <w:rsid w:val="00B21F68"/>
    <w:rsid w:val="00B25416"/>
    <w:rsid w:val="00B25B3F"/>
    <w:rsid w:val="00B27CA7"/>
    <w:rsid w:val="00B30C96"/>
    <w:rsid w:val="00B3138F"/>
    <w:rsid w:val="00B330C1"/>
    <w:rsid w:val="00B40233"/>
    <w:rsid w:val="00B41E37"/>
    <w:rsid w:val="00B4516A"/>
    <w:rsid w:val="00B452CD"/>
    <w:rsid w:val="00B4769C"/>
    <w:rsid w:val="00B53306"/>
    <w:rsid w:val="00B5487A"/>
    <w:rsid w:val="00B55D28"/>
    <w:rsid w:val="00B5602E"/>
    <w:rsid w:val="00B5670D"/>
    <w:rsid w:val="00B56856"/>
    <w:rsid w:val="00B66937"/>
    <w:rsid w:val="00B72AAA"/>
    <w:rsid w:val="00B73AFF"/>
    <w:rsid w:val="00B80A14"/>
    <w:rsid w:val="00B83736"/>
    <w:rsid w:val="00B858E1"/>
    <w:rsid w:val="00B85FB3"/>
    <w:rsid w:val="00B8723B"/>
    <w:rsid w:val="00B94141"/>
    <w:rsid w:val="00B9699E"/>
    <w:rsid w:val="00BA14C1"/>
    <w:rsid w:val="00BA2BCD"/>
    <w:rsid w:val="00BA38B6"/>
    <w:rsid w:val="00BA562B"/>
    <w:rsid w:val="00BA76BF"/>
    <w:rsid w:val="00BB1267"/>
    <w:rsid w:val="00BB1FED"/>
    <w:rsid w:val="00BB2318"/>
    <w:rsid w:val="00BB252D"/>
    <w:rsid w:val="00BB3B91"/>
    <w:rsid w:val="00BB6801"/>
    <w:rsid w:val="00BB70A0"/>
    <w:rsid w:val="00BC12D5"/>
    <w:rsid w:val="00BC19FD"/>
    <w:rsid w:val="00BC5ADF"/>
    <w:rsid w:val="00BC5C43"/>
    <w:rsid w:val="00BD04C0"/>
    <w:rsid w:val="00BD079C"/>
    <w:rsid w:val="00BD11E6"/>
    <w:rsid w:val="00BD120E"/>
    <w:rsid w:val="00BD1FCA"/>
    <w:rsid w:val="00BD5061"/>
    <w:rsid w:val="00BD7944"/>
    <w:rsid w:val="00BD7FCC"/>
    <w:rsid w:val="00BE02DE"/>
    <w:rsid w:val="00BF15E3"/>
    <w:rsid w:val="00BF1CEA"/>
    <w:rsid w:val="00BF3952"/>
    <w:rsid w:val="00BF47D0"/>
    <w:rsid w:val="00BF6598"/>
    <w:rsid w:val="00BF7C4F"/>
    <w:rsid w:val="00C02289"/>
    <w:rsid w:val="00C05D27"/>
    <w:rsid w:val="00C05EEB"/>
    <w:rsid w:val="00C07AEC"/>
    <w:rsid w:val="00C16D23"/>
    <w:rsid w:val="00C178EC"/>
    <w:rsid w:val="00C17C89"/>
    <w:rsid w:val="00C31863"/>
    <w:rsid w:val="00C3246F"/>
    <w:rsid w:val="00C35940"/>
    <w:rsid w:val="00C35D0F"/>
    <w:rsid w:val="00C40521"/>
    <w:rsid w:val="00C4092A"/>
    <w:rsid w:val="00C41A69"/>
    <w:rsid w:val="00C4365C"/>
    <w:rsid w:val="00C44870"/>
    <w:rsid w:val="00C44BE9"/>
    <w:rsid w:val="00C458C8"/>
    <w:rsid w:val="00C46521"/>
    <w:rsid w:val="00C54458"/>
    <w:rsid w:val="00C547D0"/>
    <w:rsid w:val="00C551A3"/>
    <w:rsid w:val="00C5554B"/>
    <w:rsid w:val="00C61632"/>
    <w:rsid w:val="00C6298D"/>
    <w:rsid w:val="00C638DE"/>
    <w:rsid w:val="00C67AED"/>
    <w:rsid w:val="00C71E01"/>
    <w:rsid w:val="00C725B3"/>
    <w:rsid w:val="00C72A4F"/>
    <w:rsid w:val="00C72B7A"/>
    <w:rsid w:val="00C72DF0"/>
    <w:rsid w:val="00C7528E"/>
    <w:rsid w:val="00C759D1"/>
    <w:rsid w:val="00C7729B"/>
    <w:rsid w:val="00C8064D"/>
    <w:rsid w:val="00C82BFF"/>
    <w:rsid w:val="00C8445F"/>
    <w:rsid w:val="00C87CC4"/>
    <w:rsid w:val="00C909E3"/>
    <w:rsid w:val="00C9120F"/>
    <w:rsid w:val="00C915B8"/>
    <w:rsid w:val="00C91B1D"/>
    <w:rsid w:val="00C92C7F"/>
    <w:rsid w:val="00C92F74"/>
    <w:rsid w:val="00C95E47"/>
    <w:rsid w:val="00CA16AF"/>
    <w:rsid w:val="00CA4E8E"/>
    <w:rsid w:val="00CB002A"/>
    <w:rsid w:val="00CB0BC9"/>
    <w:rsid w:val="00CB1062"/>
    <w:rsid w:val="00CC18CE"/>
    <w:rsid w:val="00CC76AA"/>
    <w:rsid w:val="00CD116B"/>
    <w:rsid w:val="00CD34E4"/>
    <w:rsid w:val="00CD3CD0"/>
    <w:rsid w:val="00CD3EB4"/>
    <w:rsid w:val="00CD6572"/>
    <w:rsid w:val="00CE0407"/>
    <w:rsid w:val="00CE158A"/>
    <w:rsid w:val="00CE3F2F"/>
    <w:rsid w:val="00CE6D97"/>
    <w:rsid w:val="00CE73B7"/>
    <w:rsid w:val="00CF0FE9"/>
    <w:rsid w:val="00D00EEB"/>
    <w:rsid w:val="00D07D49"/>
    <w:rsid w:val="00D1257E"/>
    <w:rsid w:val="00D1666A"/>
    <w:rsid w:val="00D170A9"/>
    <w:rsid w:val="00D170C7"/>
    <w:rsid w:val="00D172CA"/>
    <w:rsid w:val="00D21CF1"/>
    <w:rsid w:val="00D22CE3"/>
    <w:rsid w:val="00D30026"/>
    <w:rsid w:val="00D303AB"/>
    <w:rsid w:val="00D3093C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4A6F"/>
    <w:rsid w:val="00D56CFF"/>
    <w:rsid w:val="00D57E42"/>
    <w:rsid w:val="00D61714"/>
    <w:rsid w:val="00D724D2"/>
    <w:rsid w:val="00D73C64"/>
    <w:rsid w:val="00D812C3"/>
    <w:rsid w:val="00D90A5A"/>
    <w:rsid w:val="00D9127F"/>
    <w:rsid w:val="00D938BC"/>
    <w:rsid w:val="00D97C4A"/>
    <w:rsid w:val="00DA3DBC"/>
    <w:rsid w:val="00DA47CD"/>
    <w:rsid w:val="00DA536B"/>
    <w:rsid w:val="00DB13CD"/>
    <w:rsid w:val="00DB1CB4"/>
    <w:rsid w:val="00DB2495"/>
    <w:rsid w:val="00DB446F"/>
    <w:rsid w:val="00DB7EF1"/>
    <w:rsid w:val="00DC6582"/>
    <w:rsid w:val="00DC798E"/>
    <w:rsid w:val="00DD07BC"/>
    <w:rsid w:val="00DD1FCA"/>
    <w:rsid w:val="00DD459E"/>
    <w:rsid w:val="00DD5242"/>
    <w:rsid w:val="00DD5495"/>
    <w:rsid w:val="00DD5A42"/>
    <w:rsid w:val="00DD7055"/>
    <w:rsid w:val="00DE0BA9"/>
    <w:rsid w:val="00DE2499"/>
    <w:rsid w:val="00DE443E"/>
    <w:rsid w:val="00DE6004"/>
    <w:rsid w:val="00DF44B1"/>
    <w:rsid w:val="00DF5844"/>
    <w:rsid w:val="00DF7111"/>
    <w:rsid w:val="00E01D5F"/>
    <w:rsid w:val="00E037B9"/>
    <w:rsid w:val="00E06CC7"/>
    <w:rsid w:val="00E06D82"/>
    <w:rsid w:val="00E125D1"/>
    <w:rsid w:val="00E12BDC"/>
    <w:rsid w:val="00E157D7"/>
    <w:rsid w:val="00E20E4D"/>
    <w:rsid w:val="00E20F84"/>
    <w:rsid w:val="00E21E00"/>
    <w:rsid w:val="00E24BD7"/>
    <w:rsid w:val="00E25276"/>
    <w:rsid w:val="00E264B9"/>
    <w:rsid w:val="00E311F6"/>
    <w:rsid w:val="00E32D59"/>
    <w:rsid w:val="00E41345"/>
    <w:rsid w:val="00E44B02"/>
    <w:rsid w:val="00E450A9"/>
    <w:rsid w:val="00E450DB"/>
    <w:rsid w:val="00E45145"/>
    <w:rsid w:val="00E463A7"/>
    <w:rsid w:val="00E50CBF"/>
    <w:rsid w:val="00E51A8C"/>
    <w:rsid w:val="00E52266"/>
    <w:rsid w:val="00E53A19"/>
    <w:rsid w:val="00E5559F"/>
    <w:rsid w:val="00E558FE"/>
    <w:rsid w:val="00E56246"/>
    <w:rsid w:val="00E57176"/>
    <w:rsid w:val="00E57D3C"/>
    <w:rsid w:val="00E6042B"/>
    <w:rsid w:val="00E6122D"/>
    <w:rsid w:val="00E643CD"/>
    <w:rsid w:val="00E713F8"/>
    <w:rsid w:val="00E74723"/>
    <w:rsid w:val="00E766F4"/>
    <w:rsid w:val="00E84765"/>
    <w:rsid w:val="00E8529A"/>
    <w:rsid w:val="00E859B6"/>
    <w:rsid w:val="00E86B54"/>
    <w:rsid w:val="00E86CB8"/>
    <w:rsid w:val="00E87787"/>
    <w:rsid w:val="00E92187"/>
    <w:rsid w:val="00E97CE9"/>
    <w:rsid w:val="00EA234E"/>
    <w:rsid w:val="00EA3079"/>
    <w:rsid w:val="00EB036C"/>
    <w:rsid w:val="00EB367B"/>
    <w:rsid w:val="00EB39CF"/>
    <w:rsid w:val="00EB7D55"/>
    <w:rsid w:val="00EC0E71"/>
    <w:rsid w:val="00EE2658"/>
    <w:rsid w:val="00EE49B5"/>
    <w:rsid w:val="00EE4E6F"/>
    <w:rsid w:val="00EE5753"/>
    <w:rsid w:val="00EE7B2F"/>
    <w:rsid w:val="00EF320B"/>
    <w:rsid w:val="00EF7EA5"/>
    <w:rsid w:val="00F01A8D"/>
    <w:rsid w:val="00F032A4"/>
    <w:rsid w:val="00F0402E"/>
    <w:rsid w:val="00F040B2"/>
    <w:rsid w:val="00F10E34"/>
    <w:rsid w:val="00F13666"/>
    <w:rsid w:val="00F14679"/>
    <w:rsid w:val="00F14B61"/>
    <w:rsid w:val="00F27FBD"/>
    <w:rsid w:val="00F30E15"/>
    <w:rsid w:val="00F34466"/>
    <w:rsid w:val="00F345A6"/>
    <w:rsid w:val="00F348C2"/>
    <w:rsid w:val="00F34EB5"/>
    <w:rsid w:val="00F371BF"/>
    <w:rsid w:val="00F40B89"/>
    <w:rsid w:val="00F40D0C"/>
    <w:rsid w:val="00F42A09"/>
    <w:rsid w:val="00F44E1E"/>
    <w:rsid w:val="00F45BF9"/>
    <w:rsid w:val="00F472CD"/>
    <w:rsid w:val="00F472F8"/>
    <w:rsid w:val="00F473A3"/>
    <w:rsid w:val="00F55907"/>
    <w:rsid w:val="00F61936"/>
    <w:rsid w:val="00F63D6A"/>
    <w:rsid w:val="00F6497C"/>
    <w:rsid w:val="00F65E92"/>
    <w:rsid w:val="00F65EC5"/>
    <w:rsid w:val="00F662BC"/>
    <w:rsid w:val="00F73189"/>
    <w:rsid w:val="00F74222"/>
    <w:rsid w:val="00F81C55"/>
    <w:rsid w:val="00F8218E"/>
    <w:rsid w:val="00F8392B"/>
    <w:rsid w:val="00F858CB"/>
    <w:rsid w:val="00F87CDB"/>
    <w:rsid w:val="00F91907"/>
    <w:rsid w:val="00F91F69"/>
    <w:rsid w:val="00F920A6"/>
    <w:rsid w:val="00F936A4"/>
    <w:rsid w:val="00F9396C"/>
    <w:rsid w:val="00F972B5"/>
    <w:rsid w:val="00F973D1"/>
    <w:rsid w:val="00F97FBA"/>
    <w:rsid w:val="00FA0CCD"/>
    <w:rsid w:val="00FA3CBE"/>
    <w:rsid w:val="00FA406D"/>
    <w:rsid w:val="00FA4156"/>
    <w:rsid w:val="00FA6248"/>
    <w:rsid w:val="00FB05C9"/>
    <w:rsid w:val="00FB102D"/>
    <w:rsid w:val="00FB2657"/>
    <w:rsid w:val="00FB32C1"/>
    <w:rsid w:val="00FB3FA5"/>
    <w:rsid w:val="00FB4011"/>
    <w:rsid w:val="00FB43A0"/>
    <w:rsid w:val="00FB46F3"/>
    <w:rsid w:val="00FB5599"/>
    <w:rsid w:val="00FC1E17"/>
    <w:rsid w:val="00FC2BE9"/>
    <w:rsid w:val="00FC479F"/>
    <w:rsid w:val="00FC4C9F"/>
    <w:rsid w:val="00FC5C9A"/>
    <w:rsid w:val="00FD2E8C"/>
    <w:rsid w:val="00FD4240"/>
    <w:rsid w:val="00FD4C24"/>
    <w:rsid w:val="00FD541D"/>
    <w:rsid w:val="00FD5B40"/>
    <w:rsid w:val="00FD6881"/>
    <w:rsid w:val="00FE0FEA"/>
    <w:rsid w:val="00FE286A"/>
    <w:rsid w:val="00FE70BD"/>
    <w:rsid w:val="00FF0153"/>
    <w:rsid w:val="00FF3A55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98C6D-90B1-4360-BBCE-6942308B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466BE"/>
    <w:pPr>
      <w:keepNext/>
      <w:keepLines/>
      <w:spacing w:before="480" w:after="0"/>
      <w:outlineLvl w:val="0"/>
    </w:pPr>
    <w:rPr>
      <w:rFonts w:asciiTheme="minorHAnsi" w:eastAsia="Times New Roman" w:hAnsiTheme="minorHAns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66B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66B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0D64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6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66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66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66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E6C6B"/>
    <w:pPr>
      <w:spacing w:before="720" w:after="0"/>
    </w:pPr>
    <w:rPr>
      <w:rFonts w:cs="Arial"/>
      <w:b/>
      <w:iCs/>
      <w:sz w:val="32"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4E6C6B"/>
    <w:pPr>
      <w:spacing w:after="60" w:line="240" w:lineRule="auto"/>
    </w:pPr>
    <w:rPr>
      <w:rFonts w:cs="Arial"/>
      <w:b/>
      <w:noProof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E6C6B"/>
    <w:pPr>
      <w:spacing w:before="40"/>
    </w:pPr>
    <w:rPr>
      <w:sz w:val="28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E6C6B"/>
    <w:rPr>
      <w:rFonts w:cs="Arial"/>
      <w:b/>
      <w:iCs/>
      <w:sz w:val="3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E6C6B"/>
    <w:rPr>
      <w:rFonts w:cs="Arial"/>
      <w:b/>
      <w:iCs/>
      <w:sz w:val="28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4E6C6B"/>
    <w:rPr>
      <w:rFonts w:cs="Arial"/>
      <w:b/>
      <w:noProof/>
      <w:sz w:val="28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2466BE"/>
    <w:rPr>
      <w:rFonts w:asciiTheme="minorHAnsi" w:eastAsia="Times New Roman" w:hAnsiTheme="minorHAnsi"/>
      <w:b/>
      <w:bCs/>
      <w:sz w:val="32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customStyle="1" w:styleId="mgheloter">
    <w:name w:val="mgh_eloter"/>
    <w:autoRedefine/>
    <w:rsid w:val="00D22CE3"/>
    <w:pPr>
      <w:framePr w:hSpace="141" w:wrap="around" w:vAnchor="text" w:hAnchor="text" w:xAlign="right" w:y="1"/>
      <w:suppressOverlap/>
      <w:jc w:val="both"/>
    </w:pPr>
    <w:rPr>
      <w:rFonts w:eastAsia="Times New Roman"/>
      <w:i/>
      <w:iCs/>
      <w:sz w:val="24"/>
      <w:szCs w:val="24"/>
    </w:rPr>
  </w:style>
  <w:style w:type="paragraph" w:customStyle="1" w:styleId="mghnapirendipontcme">
    <w:name w:val="mgh_napirendi_pont_címe"/>
    <w:autoRedefine/>
    <w:rsid w:val="00D22CE3"/>
    <w:pPr>
      <w:framePr w:hSpace="141" w:wrap="around" w:vAnchor="text" w:hAnchor="text" w:xAlign="right" w:y="1"/>
      <w:spacing w:after="120"/>
      <w:suppressOverlap/>
      <w:jc w:val="both"/>
    </w:pPr>
    <w:rPr>
      <w:rFonts w:ascii="Times New Roman" w:eastAsia="Times New Roman" w:hAnsi="Times New Roman"/>
      <w:iCs/>
      <w:sz w:val="28"/>
    </w:rPr>
  </w:style>
  <w:style w:type="paragraph" w:customStyle="1" w:styleId="mghnapirendipontszma">
    <w:name w:val="mgh_napirendi_pont_száma"/>
    <w:autoRedefine/>
    <w:rsid w:val="00D22CE3"/>
    <w:pPr>
      <w:framePr w:hSpace="141" w:wrap="around" w:vAnchor="text" w:hAnchor="text" w:xAlign="right" w:y="1"/>
      <w:spacing w:after="120"/>
      <w:suppressOverlap/>
    </w:pPr>
    <w:rPr>
      <w:rFonts w:eastAsia="Times New Roman"/>
      <w:iCs/>
      <w:sz w:val="22"/>
      <w:szCs w:val="22"/>
    </w:rPr>
  </w:style>
  <w:style w:type="paragraph" w:customStyle="1" w:styleId="mghcmsor5">
    <w:name w:val="mgh_címsor_5"/>
    <w:autoRedefine/>
    <w:rsid w:val="00981DEC"/>
    <w:pPr>
      <w:spacing w:after="120"/>
    </w:pPr>
    <w:rPr>
      <w:rFonts w:ascii="Times New Roman" w:eastAsia="Times New Roman" w:hAnsi="Times New Roman"/>
      <w:sz w:val="28"/>
      <w:szCs w:val="28"/>
    </w:rPr>
  </w:style>
  <w:style w:type="paragraph" w:customStyle="1" w:styleId="mghkiemelt">
    <w:name w:val="mgh_kiemelt"/>
    <w:autoRedefine/>
    <w:rsid w:val="00302881"/>
    <w:pPr>
      <w:framePr w:hSpace="141" w:wrap="around" w:vAnchor="text" w:hAnchor="text" w:xAlign="right" w:y="1"/>
      <w:spacing w:after="120"/>
      <w:suppressOverlap/>
    </w:pPr>
    <w:rPr>
      <w:rFonts w:asciiTheme="minorHAnsi" w:eastAsia="Times New Roman" w:hAnsiTheme="minorHAnsi"/>
      <w:bCs/>
      <w:sz w:val="22"/>
      <w:szCs w:val="22"/>
    </w:rPr>
  </w:style>
  <w:style w:type="paragraph" w:customStyle="1" w:styleId="mghcm">
    <w:name w:val="mgh_cím"/>
    <w:autoRedefine/>
    <w:rsid w:val="002B14B2"/>
    <w:pPr>
      <w:spacing w:after="1134"/>
      <w:jc w:val="center"/>
    </w:pPr>
    <w:rPr>
      <w:rFonts w:ascii="Times New Roman" w:eastAsia="Times New Roman" w:hAnsi="Times New Roman"/>
      <w:b/>
      <w:bCs/>
      <w:spacing w:val="60"/>
      <w:sz w:val="28"/>
    </w:rPr>
  </w:style>
  <w:style w:type="paragraph" w:styleId="Nincstrkz">
    <w:name w:val="No Spacing"/>
    <w:uiPriority w:val="1"/>
    <w:qFormat/>
    <w:rsid w:val="00B8723B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634509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2466BE"/>
    <w:rPr>
      <w:rFonts w:eastAsiaTheme="majorEastAsia" w:cstheme="majorBidi"/>
      <w:b/>
      <w:sz w:val="28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2466BE"/>
    <w:rPr>
      <w:rFonts w:eastAsiaTheme="majorEastAsia" w:cstheme="majorBidi"/>
      <w:b/>
      <w:sz w:val="28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0D64"/>
    <w:rPr>
      <w:rFonts w:eastAsiaTheme="majorEastAsia" w:cstheme="majorBidi"/>
      <w:b/>
      <w:iCs/>
      <w:sz w:val="28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66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66B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66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66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numbering" w:customStyle="1" w:styleId="Stlus1">
    <w:name w:val="Stílus1"/>
    <w:uiPriority w:val="99"/>
    <w:rsid w:val="00A251CB"/>
    <w:pPr>
      <w:numPr>
        <w:numId w:val="7"/>
      </w:numPr>
    </w:pPr>
  </w:style>
  <w:style w:type="numbering" w:customStyle="1" w:styleId="Stlus2">
    <w:name w:val="Stílus2"/>
    <w:uiPriority w:val="99"/>
    <w:rsid w:val="00A251CB"/>
    <w:pPr>
      <w:numPr>
        <w:numId w:val="11"/>
      </w:numPr>
    </w:pPr>
  </w:style>
  <w:style w:type="numbering" w:customStyle="1" w:styleId="Stlus3">
    <w:name w:val="Stílus3"/>
    <w:uiPriority w:val="99"/>
    <w:rsid w:val="00A251CB"/>
    <w:pPr>
      <w:numPr>
        <w:numId w:val="12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A0139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0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0139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0139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080BA-DFCC-4B05-8CF6-12FFBD92E542}"/>
</file>

<file path=customXml/itemProps2.xml><?xml version="1.0" encoding="utf-8"?>
<ds:datastoreItem xmlns:ds="http://schemas.openxmlformats.org/officeDocument/2006/customXml" ds:itemID="{766658DC-B3D9-4A9E-AF38-486F2F8838D1}"/>
</file>

<file path=customXml/itemProps3.xml><?xml version="1.0" encoding="utf-8"?>
<ds:datastoreItem xmlns:ds="http://schemas.openxmlformats.org/officeDocument/2006/customXml" ds:itemID="{E2E0733C-001C-4B26-BF92-91D6C9F21CB4}"/>
</file>

<file path=customXml/itemProps4.xml><?xml version="1.0" encoding="utf-8"?>
<ds:datastoreItem xmlns:ds="http://schemas.openxmlformats.org/officeDocument/2006/customXml" ds:itemID="{F3EF0BD6-E35D-4C95-9439-114445AD67B6}"/>
</file>

<file path=customXml/itemProps5.xml><?xml version="1.0" encoding="utf-8"?>
<ds:datastoreItem xmlns:ds="http://schemas.openxmlformats.org/officeDocument/2006/customXml" ds:itemID="{1DB83248-4CC1-48DC-B7E1-E351D71FF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3965</Words>
  <Characters>27361</Characters>
  <Application>Microsoft Office Word</Application>
  <DocSecurity>0</DocSecurity>
  <Lines>228</Lines>
  <Paragraphs>62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31264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Borbély Lénárd</cp:lastModifiedBy>
  <cp:revision>11</cp:revision>
  <cp:lastPrinted>2016-12-13T08:16:00Z</cp:lastPrinted>
  <dcterms:created xsi:type="dcterms:W3CDTF">2016-12-12T16:57:00Z</dcterms:created>
  <dcterms:modified xsi:type="dcterms:W3CDTF">2016-12-16T09:18:00Z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</Properties>
</file>