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E" w:rsidRPr="002F4F4E" w:rsidRDefault="002F4F4E" w:rsidP="002F4F4E">
      <w:pPr>
        <w:jc w:val="center"/>
        <w:rPr>
          <w:b/>
          <w:caps/>
          <w:sz w:val="28"/>
          <w:szCs w:val="28"/>
        </w:rPr>
      </w:pPr>
      <w:r w:rsidRPr="002F4F4E">
        <w:rPr>
          <w:b/>
          <w:caps/>
          <w:sz w:val="28"/>
          <w:szCs w:val="28"/>
        </w:rPr>
        <w:t xml:space="preserve">Sajtóközlemény </w:t>
      </w:r>
    </w:p>
    <w:p w:rsidR="002F4F4E" w:rsidRPr="002F4F4E" w:rsidRDefault="002F4F4E" w:rsidP="002F4F4E">
      <w:pPr>
        <w:jc w:val="center"/>
        <w:rPr>
          <w:b/>
          <w:sz w:val="28"/>
          <w:szCs w:val="28"/>
        </w:rPr>
      </w:pPr>
    </w:p>
    <w:p w:rsidR="002F4F4E" w:rsidRPr="002B2EB5" w:rsidRDefault="002F4F4E" w:rsidP="002F4F4E">
      <w:pPr>
        <w:rPr>
          <w:rFonts w:cs="Arial"/>
          <w:b/>
          <w:sz w:val="24"/>
          <w:lang w:val="hu-HU"/>
        </w:rPr>
      </w:pPr>
      <w:r w:rsidRPr="002B2EB5">
        <w:rPr>
          <w:rFonts w:cs="Arial"/>
          <w:b/>
          <w:sz w:val="24"/>
          <w:lang w:val="hu-HU"/>
        </w:rPr>
        <w:t>CATCH-MR záró konferencia: a fenntartható közlekedés bevált megoldásai</w:t>
      </w:r>
    </w:p>
    <w:p w:rsidR="002F4F4E" w:rsidRPr="002B2EB5" w:rsidRDefault="002F4F4E" w:rsidP="002F4F4E">
      <w:pPr>
        <w:rPr>
          <w:rFonts w:cs="Arial"/>
          <w:b/>
          <w:sz w:val="24"/>
          <w:lang w:val="hu-HU"/>
        </w:rPr>
      </w:pPr>
    </w:p>
    <w:p w:rsidR="002F4F4E" w:rsidRPr="002B2EB5" w:rsidRDefault="002F4F4E" w:rsidP="002F4F4E">
      <w:pPr>
        <w:spacing w:line="276" w:lineRule="auto"/>
        <w:jc w:val="both"/>
        <w:rPr>
          <w:rFonts w:cs="Arial"/>
          <w:sz w:val="24"/>
          <w:lang w:val="hu-HU"/>
        </w:rPr>
      </w:pPr>
      <w:r w:rsidRPr="002B2EB5">
        <w:rPr>
          <w:rFonts w:cs="Arial"/>
          <w:sz w:val="24"/>
          <w:lang w:val="hu-HU"/>
        </w:rPr>
        <w:t>2012. november 15-én, Rómában rendezték meg a CATCH-MR („A nagyvárosi régiók közlekedési kihívásainak kooperatív megközelítései”) projekt záró konferenciáját. Az előadók ismertették a hét európai nagyvárosi régió – Oslo, Göteborg, Berlin, Bécs, Ljubljana, Budapest és Róma – szakembereinek együttműködéséből született eredményeket, a partnerek bevált megoldásait a közlekedés- és várostervezés összehangolása, a közösségi közlekedés és más fenntartható közlekedési módok fejlesztése, valamint a megújuló energiaforrások felhasználása területén.</w:t>
      </w:r>
    </w:p>
    <w:p w:rsidR="00482761" w:rsidRPr="002B2EB5" w:rsidRDefault="00482761" w:rsidP="002F4F4E">
      <w:pPr>
        <w:spacing w:line="276" w:lineRule="auto"/>
        <w:jc w:val="both"/>
        <w:rPr>
          <w:rFonts w:cs="Arial"/>
          <w:sz w:val="24"/>
          <w:lang w:val="hu-HU"/>
        </w:rPr>
      </w:pPr>
    </w:p>
    <w:p w:rsidR="002F4F4E" w:rsidRPr="002B2EB5" w:rsidRDefault="002F4F4E" w:rsidP="002F4F4E">
      <w:pPr>
        <w:spacing w:line="276" w:lineRule="auto"/>
        <w:jc w:val="both"/>
        <w:rPr>
          <w:rFonts w:cs="Arial"/>
          <w:sz w:val="24"/>
          <w:lang w:val="hu-HU"/>
        </w:rPr>
      </w:pPr>
      <w:r w:rsidRPr="002B2EB5">
        <w:rPr>
          <w:rFonts w:cs="Arial"/>
          <w:sz w:val="24"/>
          <w:lang w:val="hu-HU"/>
        </w:rPr>
        <w:t>Bécs, Göteborg és Berlin a város és környéke összehangolt tervezésére vonatkozó különböző, de a helyi körülmények között egyaránt működőképes megoldásaikat ismertették. Az oslói partnerek bemutatták a közlekedési fejlesztések finanszírozására 1990-ben bevezetett behajtási díjat, amely Európa egyre több városában válik a közlekedéspolitika részévé: 2013-ban például egy másik partnervárosban, Göteborgban vezetik be a gépjárműforgalom csökkentése érdekében. A ljubljanai közösségi kerékpárkölcsönző rendszer működési tapasztalatai a Bubi bevezetése során lehetnek hasznosak. A tapasztalatcsere ugyanakkor nem csak a magyar partnerek számára volt hasznos: Oslo például a Budapesti és agglomerációs vasútállomásokon uniós támogatással kialakított P+R parkolók, valamint a Rákoskert vasútállomásra ráhordó 197-es busz létrejöttét (</w:t>
      </w:r>
      <w:hyperlink r:id="rId7" w:history="1">
        <w:r w:rsidRPr="002B2EB5">
          <w:rPr>
            <w:rStyle w:val="Hiperhivatkozs"/>
            <w:lang w:val="hu-HU"/>
          </w:rPr>
          <w:t>http://bkv.hu/busz/197_2.pdf</w:t>
        </w:r>
      </w:hyperlink>
      <w:r w:rsidRPr="002B2EB5">
        <w:rPr>
          <w:lang w:val="hu-HU"/>
        </w:rPr>
        <w:t>)</w:t>
      </w:r>
      <w:r w:rsidRPr="002B2EB5">
        <w:rPr>
          <w:rFonts w:cs="Arial"/>
          <w:sz w:val="24"/>
          <w:lang w:val="hu-HU"/>
        </w:rPr>
        <w:t xml:space="preserve"> találta követendő példának. </w:t>
      </w:r>
    </w:p>
    <w:p w:rsidR="002F4F4E" w:rsidRPr="002B2EB5" w:rsidRDefault="002F4F4E" w:rsidP="002F4F4E">
      <w:pPr>
        <w:spacing w:line="276" w:lineRule="auto"/>
        <w:jc w:val="both"/>
        <w:rPr>
          <w:rFonts w:cs="Arial"/>
          <w:sz w:val="24"/>
          <w:lang w:val="hu-HU"/>
        </w:rPr>
      </w:pPr>
    </w:p>
    <w:p w:rsidR="002F4F4E" w:rsidRPr="002B2EB5" w:rsidRDefault="002F4F4E" w:rsidP="002F4F4E">
      <w:pPr>
        <w:spacing w:line="276" w:lineRule="auto"/>
        <w:jc w:val="both"/>
        <w:rPr>
          <w:rFonts w:cs="Arial"/>
          <w:sz w:val="24"/>
          <w:lang w:val="hu-HU"/>
        </w:rPr>
      </w:pPr>
      <w:r w:rsidRPr="002B2EB5">
        <w:rPr>
          <w:rFonts w:cs="Arial"/>
          <w:sz w:val="24"/>
          <w:lang w:val="hu-HU"/>
        </w:rPr>
        <w:t xml:space="preserve">A konferencián a magyarországi partnereket, Budapest Főváros Önkormányzatát és a BKK-t dr. Szeneczey Balázs főpolgármester-helyettes és Vitézy Dávid vezérigazgató képviselték. Szeneczey Balázs a panelbeszélgetésen elmondta, hogy az új városvezetés a BKK létrehozásával fontos lépést tett az integrált közlekedés-irányítás irányába. A várostervezés és a közlekedéstervezés összhangja is javult a BKK és a Városépítési Főosztály szoros együttműködésének köszönhetően. A továbblépés érdekében azonban ki kellene alakítani az együttműködés szervezett kereteit a főváros és a kerületek, illetve az agglomerációs települések között, elősegítve ezzel a tervek összehangolását. Javasolta a partnerek között kialakult együttműködés elmélyítését is konkrét intézkedésekre vonatkozóan: Oslo és </w:t>
      </w:r>
      <w:r w:rsidRPr="002B2EB5">
        <w:rPr>
          <w:rFonts w:cs="Arial"/>
          <w:sz w:val="24"/>
          <w:lang w:val="hu-HU"/>
        </w:rPr>
        <w:lastRenderedPageBreak/>
        <w:t>Göteborg behajtási díjjal kapcsolatos tapasztalatait például Budapest is kamatoztathatja.</w:t>
      </w:r>
    </w:p>
    <w:p w:rsidR="00482761" w:rsidRPr="002B2EB5" w:rsidRDefault="00482761" w:rsidP="002F4F4E">
      <w:pPr>
        <w:spacing w:line="276" w:lineRule="auto"/>
        <w:jc w:val="both"/>
        <w:rPr>
          <w:rFonts w:cs="Arial"/>
          <w:sz w:val="24"/>
          <w:lang w:val="hu-HU"/>
        </w:rPr>
      </w:pPr>
    </w:p>
    <w:p w:rsidR="00482761" w:rsidRPr="002B2EB5" w:rsidRDefault="002F4F4E" w:rsidP="00482761">
      <w:pPr>
        <w:spacing w:line="276" w:lineRule="auto"/>
        <w:jc w:val="both"/>
        <w:rPr>
          <w:rFonts w:cs="Arial"/>
          <w:sz w:val="24"/>
          <w:lang w:val="hu-HU"/>
        </w:rPr>
      </w:pPr>
      <w:r w:rsidRPr="002B2EB5">
        <w:rPr>
          <w:rFonts w:cs="Arial"/>
          <w:sz w:val="24"/>
          <w:lang w:val="hu-HU"/>
        </w:rPr>
        <w:t>-----------------------------</w:t>
      </w:r>
      <w:r w:rsidR="00482761" w:rsidRPr="002B2EB5">
        <w:rPr>
          <w:rFonts w:cs="Arial"/>
          <w:sz w:val="24"/>
          <w:lang w:val="hu-HU"/>
        </w:rPr>
        <w:t>------------------------------------------------------------------------------------</w:t>
      </w:r>
    </w:p>
    <w:p w:rsidR="00482761" w:rsidRPr="002B2EB5" w:rsidRDefault="00482761" w:rsidP="00482761">
      <w:pPr>
        <w:spacing w:line="276" w:lineRule="auto"/>
        <w:jc w:val="both"/>
        <w:rPr>
          <w:rFonts w:cs="Arial"/>
          <w:sz w:val="24"/>
          <w:lang w:val="hu-HU"/>
        </w:rPr>
      </w:pPr>
    </w:p>
    <w:p w:rsidR="002F4F4E" w:rsidRPr="002B2EB5" w:rsidRDefault="002F4F4E" w:rsidP="002F4F4E">
      <w:pPr>
        <w:spacing w:line="276" w:lineRule="auto"/>
        <w:jc w:val="both"/>
        <w:rPr>
          <w:rFonts w:cs="Arial"/>
          <w:sz w:val="24"/>
          <w:lang w:val="hu-HU"/>
        </w:rPr>
      </w:pPr>
      <w:r w:rsidRPr="002B2EB5">
        <w:rPr>
          <w:rFonts w:cs="Arial"/>
          <w:sz w:val="24"/>
          <w:lang w:val="hu-HU"/>
        </w:rPr>
        <w:t>A CATCH-MR („A nagyvárosi régiók közlekedési kihívásainak kooperatív megközelítései”) egy INTERREG IVC projekt, amely 2010. január és 2012. december között kerül megvalósításra mintegy 2 millió eurós összköltséggel. Résztvevői a nagyvárosok és környező régióik közlekedésének fenntartható megoldásait keresik és alkalmazzák. A projektben 12 partner vesz részt 7 nagyvárosi régió képviseletében: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Oslo/Akershus, Norvégia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Göteborg Régió Önkormányzati Szövetség,Svédország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Berlin–Brandenburg fővárosi régió, Németország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Bécs nagyvárosi régió, Ausztria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Ljubljana városi régió, Szlovénia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Közép-magyarországi régió, Magyarország</w:t>
      </w:r>
    </w:p>
    <w:p w:rsidR="002F4F4E" w:rsidRPr="002B2EB5" w:rsidRDefault="002F4F4E" w:rsidP="002F4F4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B2EB5">
        <w:rPr>
          <w:rFonts w:ascii="Arial" w:hAnsi="Arial" w:cs="Arial"/>
          <w:sz w:val="24"/>
          <w:szCs w:val="24"/>
        </w:rPr>
        <w:t>Róma megye, Olaszország</w:t>
      </w:r>
    </w:p>
    <w:p w:rsidR="002F4F4E" w:rsidRPr="002B2EB5" w:rsidRDefault="002F4F4E" w:rsidP="002F4F4E">
      <w:pPr>
        <w:spacing w:line="276" w:lineRule="auto"/>
        <w:jc w:val="both"/>
        <w:rPr>
          <w:rFonts w:cs="Arial"/>
          <w:sz w:val="24"/>
          <w:lang w:val="hu-HU"/>
        </w:rPr>
      </w:pPr>
      <w:r w:rsidRPr="002B2EB5">
        <w:rPr>
          <w:rFonts w:cs="Arial"/>
          <w:sz w:val="24"/>
          <w:lang w:val="hu-HU"/>
        </w:rPr>
        <w:t xml:space="preserve">További információk: </w:t>
      </w:r>
      <w:hyperlink r:id="rId8" w:history="1">
        <w:r w:rsidRPr="002B2EB5">
          <w:rPr>
            <w:rStyle w:val="Hiperhivatkozs"/>
            <w:rFonts w:cs="Arial"/>
            <w:color w:val="548DD4"/>
            <w:sz w:val="24"/>
            <w:lang w:val="hu-HU"/>
          </w:rPr>
          <w:t>http://www.c</w:t>
        </w:r>
        <w:r w:rsidRPr="002B2EB5">
          <w:rPr>
            <w:rStyle w:val="Hiperhivatkozs"/>
            <w:rFonts w:cs="Arial"/>
            <w:color w:val="548DD4"/>
            <w:sz w:val="24"/>
            <w:lang w:val="hu-HU"/>
          </w:rPr>
          <w:t>a</w:t>
        </w:r>
        <w:r w:rsidRPr="002B2EB5">
          <w:rPr>
            <w:rStyle w:val="Hiperhivatkozs"/>
            <w:rFonts w:cs="Arial"/>
            <w:color w:val="548DD4"/>
            <w:sz w:val="24"/>
            <w:lang w:val="hu-HU"/>
          </w:rPr>
          <w:t>tch-mr.eu</w:t>
        </w:r>
      </w:hyperlink>
    </w:p>
    <w:p w:rsidR="002F4F4E" w:rsidRPr="002B2EB5" w:rsidRDefault="002F4F4E" w:rsidP="002F4F4E">
      <w:pPr>
        <w:spacing w:line="276" w:lineRule="auto"/>
        <w:rPr>
          <w:rFonts w:cs="Arial"/>
          <w:sz w:val="24"/>
          <w:lang w:val="hu-HU"/>
        </w:rPr>
      </w:pPr>
    </w:p>
    <w:p w:rsidR="00A01F15" w:rsidRPr="002B2EB5" w:rsidRDefault="00A01F15" w:rsidP="002F4F4E">
      <w:pPr>
        <w:spacing w:line="276" w:lineRule="auto"/>
        <w:rPr>
          <w:rFonts w:cs="Arial"/>
          <w:sz w:val="24"/>
          <w:lang w:val="hu-HU"/>
        </w:rPr>
      </w:pPr>
    </w:p>
    <w:p w:rsidR="00A01F15" w:rsidRPr="002B2EB5" w:rsidRDefault="00A01F15" w:rsidP="002F4F4E">
      <w:pPr>
        <w:spacing w:line="276" w:lineRule="auto"/>
        <w:rPr>
          <w:rFonts w:cs="Arial"/>
          <w:sz w:val="24"/>
          <w:lang w:val="hu-HU"/>
        </w:rPr>
      </w:pPr>
    </w:p>
    <w:p w:rsidR="00A01F15" w:rsidRPr="002B2EB5" w:rsidRDefault="00A01F15" w:rsidP="002F4F4E">
      <w:pPr>
        <w:spacing w:line="276" w:lineRule="auto"/>
        <w:rPr>
          <w:rFonts w:cs="Arial"/>
          <w:sz w:val="24"/>
          <w:lang w:val="hu-HU"/>
        </w:rPr>
      </w:pPr>
    </w:p>
    <w:sectPr w:rsidR="00A01F15" w:rsidRPr="002B2EB5" w:rsidSect="002F4F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3119" w:right="1418" w:bottom="2126" w:left="1418" w:header="284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BE" w:rsidRDefault="00D07ABE">
      <w:r>
        <w:separator/>
      </w:r>
    </w:p>
  </w:endnote>
  <w:endnote w:type="continuationSeparator" w:id="0">
    <w:p w:rsidR="00D07ABE" w:rsidRDefault="00D0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B0" w:rsidRDefault="003A2FB0" w:rsidP="00B33038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EB5">
      <w:rPr>
        <w:rStyle w:val="Oldalszm"/>
        <w:noProof/>
      </w:rPr>
      <w:t>2</w:t>
    </w:r>
    <w:r>
      <w:rPr>
        <w:rStyle w:val="Oldalszm"/>
      </w:rPr>
      <w:fldChar w:fldCharType="end"/>
    </w:r>
  </w:p>
  <w:p w:rsidR="003A2FB0" w:rsidRDefault="003A2FB0">
    <w:pPr>
      <w:pStyle w:val="llb"/>
    </w:pPr>
    <w:r>
      <w:rPr>
        <w:noProof/>
      </w:rPr>
      <w:pict>
        <v:line id="_x0000_s2052" style="position:absolute;z-index:-251657216;mso-wrap-edited:f" from="-84.75pt,-9.9pt" to="560.25pt,-9.9pt" wrapcoords="-25 -2147483648 -25 -2147483648 21651 -2147483648 21651 -2147483648 -25 -2147483648" strokecolor="#92c11b">
          <w10:wrap type="tight"/>
        </v:line>
      </w:pict>
    </w:r>
    <w:r w:rsidR="002B2EB5">
      <w:rPr>
        <w:noProof/>
        <w:lang w:val="hu-HU" w:eastAsia="hu-HU"/>
      </w:rPr>
      <w:drawing>
        <wp:inline distT="0" distB="0" distL="0" distR="0">
          <wp:extent cx="5457825" cy="600075"/>
          <wp:effectExtent l="19050" t="0" r="9525" b="0"/>
          <wp:docPr id="2" name="Kép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B0" w:rsidRDefault="003A2FB0" w:rsidP="00B330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EB5">
      <w:rPr>
        <w:rStyle w:val="Oldalszm"/>
        <w:noProof/>
      </w:rPr>
      <w:t>1</w:t>
    </w:r>
    <w:r>
      <w:rPr>
        <w:rStyle w:val="Oldalszm"/>
      </w:rPr>
      <w:fldChar w:fldCharType="end"/>
    </w:r>
  </w:p>
  <w:p w:rsidR="003A2FB0" w:rsidRDefault="003A2FB0">
    <w:pPr>
      <w:pStyle w:val="llb"/>
    </w:pPr>
    <w:r>
      <w:rPr>
        <w:szCs w:val="20"/>
        <w:lang w:val="hu-HU" w:eastAsia="hu-HU"/>
      </w:rPr>
      <w:pict>
        <v:line id="_x0000_s2050" style="position:absolute;z-index:-251659264;mso-wrap-edited:f" from="-84.85pt,-9.9pt" to="560.15pt,-9.9pt" wrapcoords="-25 -2147483648 -25 -2147483648 21651 -2147483648 21651 -2147483648 -25 -2147483648" strokecolor="#92c11b">
          <w10:wrap type="tight"/>
        </v:line>
      </w:pict>
    </w:r>
    <w:r w:rsidR="002B2EB5">
      <w:rPr>
        <w:noProof/>
        <w:lang w:val="hu-HU" w:eastAsia="hu-HU"/>
      </w:rPr>
      <w:drawing>
        <wp:inline distT="0" distB="0" distL="0" distR="0">
          <wp:extent cx="5457825" cy="600075"/>
          <wp:effectExtent l="19050" t="0" r="9525" b="0"/>
          <wp:docPr id="1" name="Kép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BE" w:rsidRDefault="00D07ABE">
      <w:r>
        <w:separator/>
      </w:r>
    </w:p>
  </w:footnote>
  <w:footnote w:type="continuationSeparator" w:id="0">
    <w:p w:rsidR="00D07ABE" w:rsidRDefault="00D07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B0" w:rsidRDefault="002B2EB5">
    <w:r>
      <w:rPr>
        <w:noProof/>
        <w:szCs w:val="20"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4408805</wp:posOffset>
          </wp:positionH>
          <wp:positionV relativeFrom="paragraph">
            <wp:posOffset>279400</wp:posOffset>
          </wp:positionV>
          <wp:extent cx="1765300" cy="711200"/>
          <wp:effectExtent l="19050" t="0" r="6350" b="0"/>
          <wp:wrapTight wrapText="bothSides">
            <wp:wrapPolygon edited="0">
              <wp:start x="-233" y="0"/>
              <wp:lineTo x="-233" y="20829"/>
              <wp:lineTo x="21678" y="20829"/>
              <wp:lineTo x="21678" y="0"/>
              <wp:lineTo x="-233" y="0"/>
            </wp:wrapPolygon>
          </wp:wrapTight>
          <wp:docPr id="4" name="Kép 3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B0" w:rsidRDefault="002B2EB5">
    <w:r>
      <w:rPr>
        <w:noProof/>
        <w:szCs w:val="20"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-177800</wp:posOffset>
          </wp:positionV>
          <wp:extent cx="7569200" cy="1714500"/>
          <wp:effectExtent l="19050" t="0" r="0" b="0"/>
          <wp:wrapTight wrapText="bothSides">
            <wp:wrapPolygon edited="0">
              <wp:start x="-54" y="0"/>
              <wp:lineTo x="-54" y="21360"/>
              <wp:lineTo x="21582" y="21360"/>
              <wp:lineTo x="21582" y="0"/>
              <wp:lineTo x="-54" y="0"/>
            </wp:wrapPolygon>
          </wp:wrapTight>
          <wp:docPr id="3" name="Kép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D0E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CF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30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12F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18A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0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82A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C1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086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8298F"/>
    <w:multiLevelType w:val="hybridMultilevel"/>
    <w:tmpl w:val="448C28C6"/>
    <w:lvl w:ilvl="0" w:tplc="5718B25E">
      <w:start w:val="3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0B1C75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62DBE"/>
    <w:multiLevelType w:val="hybridMultilevel"/>
    <w:tmpl w:val="0032CAD8"/>
    <w:lvl w:ilvl="0" w:tplc="B91AA54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61847"/>
    <w:multiLevelType w:val="multilevel"/>
    <w:tmpl w:val="0407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4">
    <w:nsid w:val="13315FDB"/>
    <w:multiLevelType w:val="multilevel"/>
    <w:tmpl w:val="2C5AE0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5B32332"/>
    <w:multiLevelType w:val="hybridMultilevel"/>
    <w:tmpl w:val="A8DC9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D73E4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CD20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3860F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7B90C67"/>
    <w:multiLevelType w:val="hybridMultilevel"/>
    <w:tmpl w:val="01625C50"/>
    <w:lvl w:ilvl="0" w:tplc="0407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2CD9487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471C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5D316A"/>
    <w:multiLevelType w:val="hybridMultilevel"/>
    <w:tmpl w:val="D332E1E4"/>
    <w:lvl w:ilvl="0" w:tplc="1F8EF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D0BCE"/>
    <w:multiLevelType w:val="hybridMultilevel"/>
    <w:tmpl w:val="1F9AA20A"/>
    <w:lvl w:ilvl="0" w:tplc="F3BC20B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A46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071467"/>
    <w:multiLevelType w:val="hybridMultilevel"/>
    <w:tmpl w:val="B7DE310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AFF6907"/>
    <w:multiLevelType w:val="hybridMultilevel"/>
    <w:tmpl w:val="E7148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22"/>
  </w:num>
  <w:num w:numId="14">
    <w:abstractNumId w:val="17"/>
  </w:num>
  <w:num w:numId="15">
    <w:abstractNumId w:val="16"/>
  </w:num>
  <w:num w:numId="16">
    <w:abstractNumId w:val="21"/>
  </w:num>
  <w:num w:numId="17">
    <w:abstractNumId w:val="20"/>
  </w:num>
  <w:num w:numId="18">
    <w:abstractNumId w:val="24"/>
  </w:num>
  <w:num w:numId="19">
    <w:abstractNumId w:val="11"/>
  </w:num>
  <w:num w:numId="20">
    <w:abstractNumId w:val="18"/>
  </w:num>
  <w:num w:numId="21">
    <w:abstractNumId w:val="13"/>
  </w:num>
  <w:num w:numId="22">
    <w:abstractNumId w:val="19"/>
  </w:num>
  <w:num w:numId="23">
    <w:abstractNumId w:val="14"/>
  </w:num>
  <w:num w:numId="24">
    <w:abstractNumId w:val="15"/>
  </w:num>
  <w:num w:numId="25">
    <w:abstractNumId w:val="1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92c1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F1D"/>
    <w:rsid w:val="00012704"/>
    <w:rsid w:val="00021B0A"/>
    <w:rsid w:val="00152552"/>
    <w:rsid w:val="00192A84"/>
    <w:rsid w:val="00264F71"/>
    <w:rsid w:val="002B2EB5"/>
    <w:rsid w:val="002F4F4E"/>
    <w:rsid w:val="003A2FB0"/>
    <w:rsid w:val="003C363A"/>
    <w:rsid w:val="003E1122"/>
    <w:rsid w:val="00482761"/>
    <w:rsid w:val="004D0E50"/>
    <w:rsid w:val="00526FBE"/>
    <w:rsid w:val="005445FB"/>
    <w:rsid w:val="00556AC4"/>
    <w:rsid w:val="005A0B51"/>
    <w:rsid w:val="005F025C"/>
    <w:rsid w:val="006125F3"/>
    <w:rsid w:val="006B1BDB"/>
    <w:rsid w:val="00735DEB"/>
    <w:rsid w:val="007E5A8F"/>
    <w:rsid w:val="00846BAF"/>
    <w:rsid w:val="00857A96"/>
    <w:rsid w:val="008C7BD9"/>
    <w:rsid w:val="009808A0"/>
    <w:rsid w:val="00A01F15"/>
    <w:rsid w:val="00A248B8"/>
    <w:rsid w:val="00A44D99"/>
    <w:rsid w:val="00AF4F2F"/>
    <w:rsid w:val="00B325FE"/>
    <w:rsid w:val="00B33038"/>
    <w:rsid w:val="00B33B36"/>
    <w:rsid w:val="00B361ED"/>
    <w:rsid w:val="00B451AE"/>
    <w:rsid w:val="00B71719"/>
    <w:rsid w:val="00BE72AE"/>
    <w:rsid w:val="00BF26BD"/>
    <w:rsid w:val="00C00A43"/>
    <w:rsid w:val="00C11EEA"/>
    <w:rsid w:val="00C27DEB"/>
    <w:rsid w:val="00CE5DC2"/>
    <w:rsid w:val="00D07ABE"/>
    <w:rsid w:val="00D927AB"/>
    <w:rsid w:val="00DF69F0"/>
    <w:rsid w:val="00E06D45"/>
    <w:rsid w:val="00E57BB9"/>
    <w:rsid w:val="00E65C4A"/>
    <w:rsid w:val="00E776AD"/>
    <w:rsid w:val="00EC0BBB"/>
    <w:rsid w:val="00F527AC"/>
    <w:rsid w:val="00FB3EE5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2c11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5C"/>
    <w:rPr>
      <w:rFonts w:ascii="Arial" w:hAnsi="Arial"/>
      <w:sz w:val="22"/>
      <w:szCs w:val="24"/>
      <w:lang w:val="de-DE"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FB3EE5"/>
    <w:pPr>
      <w:keepNext/>
      <w:numPr>
        <w:numId w:val="21"/>
      </w:numPr>
      <w:tabs>
        <w:tab w:val="left" w:pos="680"/>
      </w:tabs>
      <w:spacing w:before="360" w:after="360"/>
      <w:outlineLvl w:val="0"/>
    </w:pPr>
    <w:rPr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FB3EE5"/>
    <w:pPr>
      <w:keepNext/>
      <w:numPr>
        <w:ilvl w:val="1"/>
        <w:numId w:val="21"/>
      </w:numPr>
      <w:tabs>
        <w:tab w:val="left" w:pos="680"/>
      </w:tabs>
      <w:spacing w:before="360" w:after="240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FB3EE5"/>
    <w:pPr>
      <w:keepNext/>
      <w:numPr>
        <w:ilvl w:val="2"/>
        <w:numId w:val="21"/>
      </w:numPr>
      <w:tabs>
        <w:tab w:val="left" w:pos="680"/>
      </w:tabs>
      <w:spacing w:before="360" w:after="120"/>
      <w:outlineLvl w:val="2"/>
    </w:pPr>
    <w:rPr>
      <w:bCs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808A0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808A0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808A0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808A0"/>
    <w:pPr>
      <w:numPr>
        <w:ilvl w:val="6"/>
        <w:numId w:val="21"/>
      </w:numPr>
      <w:spacing w:before="240" w:after="60"/>
      <w:outlineLvl w:val="6"/>
    </w:pPr>
    <w:rPr>
      <w:rFonts w:ascii="Calibri" w:hAnsi="Calibri"/>
      <w:sz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808A0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Cmsor9">
    <w:name w:val="heading 9"/>
    <w:basedOn w:val="Norml"/>
    <w:next w:val="Norml"/>
    <w:link w:val="Cmsor9Char"/>
    <w:uiPriority w:val="9"/>
    <w:qFormat/>
    <w:rsid w:val="009808A0"/>
    <w:pPr>
      <w:numPr>
        <w:ilvl w:val="8"/>
        <w:numId w:val="2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F02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1C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7DEB"/>
  </w:style>
  <w:style w:type="character" w:customStyle="1" w:styleId="Cmsor1Char">
    <w:name w:val="Címsor 1 Char"/>
    <w:basedOn w:val="Bekezdsalapbettpusa"/>
    <w:link w:val="Cmsor1"/>
    <w:uiPriority w:val="9"/>
    <w:rsid w:val="00FB3EE5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B3EE5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FB3EE5"/>
    <w:rPr>
      <w:rFonts w:ascii="Arial" w:eastAsia="Times New Roman" w:hAnsi="Arial" w:cs="Times New Roman"/>
      <w:bCs/>
      <w:sz w:val="22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808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08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08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08A0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08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08A0"/>
    <w:rPr>
      <w:rFonts w:ascii="Cambria" w:eastAsia="Times New Roman" w:hAnsi="Cambria" w:cs="Times New Roman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33038"/>
    <w:rPr>
      <w:rFonts w:ascii="Arial" w:hAnsi="Arial"/>
      <w:sz w:val="22"/>
      <w:szCs w:val="24"/>
    </w:rPr>
  </w:style>
  <w:style w:type="character" w:styleId="Hiperhivatkozs">
    <w:name w:val="Hyperlink"/>
    <w:basedOn w:val="Bekezdsalapbettpusa"/>
    <w:rsid w:val="00B451AE"/>
    <w:rPr>
      <w:color w:val="0000FF"/>
      <w:u w:val="single"/>
    </w:rPr>
  </w:style>
  <w:style w:type="table" w:styleId="Rcsostblzat">
    <w:name w:val="Table Grid"/>
    <w:basedOn w:val="Normltblzat"/>
    <w:rsid w:val="00B4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2F4F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4F4E"/>
    <w:pPr>
      <w:spacing w:after="200"/>
    </w:pPr>
    <w:rPr>
      <w:rFonts w:ascii="Calibri" w:eastAsia="Calibri" w:hAnsi="Calibri"/>
      <w:sz w:val="20"/>
      <w:szCs w:val="20"/>
      <w:lang w:val="hu-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4F4E"/>
    <w:rPr>
      <w:rFonts w:ascii="Calibri" w:eastAsia="Calibri" w:hAnsi="Calibri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2F4F4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u-HU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2F4F4E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F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F4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h-mr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kv.hu/busz/197_2.pdf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97EFCDB-2D55-46B6-8B7A-83BAA4A55C80}"/>
</file>

<file path=customXml/itemProps2.xml><?xml version="1.0" encoding="utf-8"?>
<ds:datastoreItem xmlns:ds="http://schemas.openxmlformats.org/officeDocument/2006/customXml" ds:itemID="{28786F17-CCEE-4C8B-B4D6-1DC32C100B47}"/>
</file>

<file path=customXml/itemProps3.xml><?xml version="1.0" encoding="utf-8"?>
<ds:datastoreItem xmlns:ds="http://schemas.openxmlformats.org/officeDocument/2006/customXml" ds:itemID="{1DD82E22-5C36-48D9-A283-4F211DFB0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Microsoft</Company>
  <LinksUpToDate>false</LinksUpToDate>
  <CharactersWithSpaces>3281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http://www.catch-mr.eu/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http://bkv.hu/busz/197_2.pdf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reents</dc:creator>
  <cp:lastModifiedBy>schmidtg</cp:lastModifiedBy>
  <cp:revision>2</cp:revision>
  <cp:lastPrinted>2010-07-21T10:05:00Z</cp:lastPrinted>
  <dcterms:created xsi:type="dcterms:W3CDTF">2012-11-20T14:57:00Z</dcterms:created>
  <dcterms:modified xsi:type="dcterms:W3CDTF">2012-11-20T14:57:00Z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