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4" w:type="dxa"/>
        <w:tblCellMar>
          <w:left w:w="70" w:type="dxa"/>
          <w:right w:w="70" w:type="dxa"/>
        </w:tblCellMar>
        <w:tblLook w:val="0000"/>
      </w:tblPr>
      <w:tblGrid>
        <w:gridCol w:w="4748"/>
        <w:gridCol w:w="4606"/>
      </w:tblGrid>
      <w:tr w:rsidR="00C37940" w:rsidRPr="00781D99" w:rsidTr="00C058E9">
        <w:tc>
          <w:tcPr>
            <w:tcW w:w="4748" w:type="dxa"/>
          </w:tcPr>
          <w:p w:rsidR="00C37940" w:rsidRPr="00781D99" w:rsidRDefault="00C37940" w:rsidP="00C058E9">
            <w:pPr>
              <w:spacing w:before="240" w:after="240" w:line="240" w:lineRule="auto"/>
              <w:ind w:right="72"/>
              <w:jc w:val="both"/>
              <w:rPr>
                <w:rFonts w:asciiTheme="minorHAnsi" w:hAnsiTheme="minorHAnsi"/>
                <w:b/>
                <w:sz w:val="24"/>
                <w:szCs w:val="24"/>
              </w:rPr>
            </w:pPr>
            <w:r w:rsidRPr="00781D99">
              <w:rPr>
                <w:rFonts w:asciiTheme="minorHAnsi" w:hAnsiTheme="minorHAnsi"/>
                <w:b/>
                <w:sz w:val="24"/>
                <w:szCs w:val="24"/>
              </w:rPr>
              <w:t>Szándéknyilatkozat</w:t>
            </w:r>
          </w:p>
        </w:tc>
        <w:tc>
          <w:tcPr>
            <w:tcW w:w="4606" w:type="dxa"/>
          </w:tcPr>
          <w:p w:rsidR="00C37940" w:rsidRPr="00781D99" w:rsidRDefault="0039346E" w:rsidP="00FB0389">
            <w:pPr>
              <w:spacing w:before="240" w:after="240" w:line="240" w:lineRule="auto"/>
              <w:ind w:left="72"/>
              <w:rPr>
                <w:rFonts w:asciiTheme="minorHAnsi" w:hAnsiTheme="minorHAnsi"/>
                <w:b/>
                <w:sz w:val="24"/>
                <w:szCs w:val="24"/>
                <w:lang w:val="en-GB"/>
              </w:rPr>
            </w:pPr>
            <w:r w:rsidRPr="00781D99">
              <w:rPr>
                <w:rFonts w:asciiTheme="minorHAnsi" w:hAnsiTheme="minorHAnsi"/>
                <w:b/>
                <w:sz w:val="24"/>
                <w:szCs w:val="24"/>
                <w:lang w:val="en-GB"/>
              </w:rPr>
              <w:t xml:space="preserve">Letter of Intent </w:t>
            </w:r>
          </w:p>
        </w:tc>
      </w:tr>
      <w:tr w:rsidR="00C37940" w:rsidRPr="00781D99" w:rsidTr="00C058E9">
        <w:tc>
          <w:tcPr>
            <w:tcW w:w="4748" w:type="dxa"/>
          </w:tcPr>
          <w:p w:rsidR="00C37940" w:rsidRPr="00781D99" w:rsidRDefault="00C37940" w:rsidP="00C058E9">
            <w:pPr>
              <w:spacing w:before="120" w:after="120" w:line="240" w:lineRule="auto"/>
              <w:ind w:right="72"/>
              <w:jc w:val="both"/>
              <w:rPr>
                <w:rFonts w:asciiTheme="minorHAnsi" w:hAnsiTheme="minorHAnsi"/>
                <w:sz w:val="24"/>
                <w:szCs w:val="24"/>
              </w:rPr>
            </w:pPr>
            <w:r w:rsidRPr="00781D99">
              <w:rPr>
                <w:rFonts w:asciiTheme="minorHAnsi" w:hAnsiTheme="minorHAnsi"/>
                <w:sz w:val="24"/>
                <w:szCs w:val="24"/>
              </w:rPr>
              <w:t>Amely létrejött egyrészről</w:t>
            </w:r>
          </w:p>
        </w:tc>
        <w:tc>
          <w:tcPr>
            <w:tcW w:w="4606" w:type="dxa"/>
          </w:tcPr>
          <w:p w:rsidR="00C37940" w:rsidRPr="00781D99" w:rsidRDefault="00C37940" w:rsidP="00C536E4">
            <w:pPr>
              <w:spacing w:before="120" w:after="120" w:line="240" w:lineRule="auto"/>
              <w:ind w:left="72"/>
              <w:jc w:val="both"/>
              <w:rPr>
                <w:rFonts w:asciiTheme="minorHAnsi" w:hAnsiTheme="minorHAnsi"/>
                <w:sz w:val="24"/>
                <w:szCs w:val="24"/>
                <w:lang w:val="en-GB"/>
              </w:rPr>
            </w:pPr>
            <w:r w:rsidRPr="00781D99">
              <w:rPr>
                <w:rFonts w:asciiTheme="minorHAnsi" w:hAnsiTheme="minorHAnsi"/>
                <w:sz w:val="24"/>
                <w:szCs w:val="24"/>
                <w:lang w:val="en-GB"/>
              </w:rPr>
              <w:t xml:space="preserve">Entered into </w:t>
            </w:r>
            <w:r w:rsidR="00C536E4" w:rsidRPr="00781D99">
              <w:rPr>
                <w:rFonts w:asciiTheme="minorHAnsi" w:hAnsiTheme="minorHAnsi"/>
                <w:sz w:val="24"/>
                <w:szCs w:val="24"/>
                <w:lang w:val="en-GB"/>
              </w:rPr>
              <w:t>between</w:t>
            </w:r>
            <w:r w:rsidRPr="00781D99">
              <w:rPr>
                <w:rFonts w:asciiTheme="minorHAnsi" w:hAnsiTheme="minorHAnsi"/>
                <w:sz w:val="24"/>
                <w:szCs w:val="24"/>
                <w:lang w:val="en-GB"/>
              </w:rPr>
              <w:t xml:space="preserve"> </w:t>
            </w:r>
            <w:r w:rsidR="00C536E4" w:rsidRPr="00781D99">
              <w:rPr>
                <w:rFonts w:asciiTheme="minorHAnsi" w:hAnsiTheme="minorHAnsi"/>
                <w:sz w:val="24"/>
                <w:szCs w:val="24"/>
                <w:lang w:val="en-GB"/>
              </w:rPr>
              <w:t>the</w:t>
            </w:r>
          </w:p>
        </w:tc>
      </w:tr>
      <w:tr w:rsidR="00C37940" w:rsidRPr="00781D99" w:rsidTr="00C058E9">
        <w:tc>
          <w:tcPr>
            <w:tcW w:w="4748" w:type="dxa"/>
          </w:tcPr>
          <w:p w:rsidR="00C37940" w:rsidRPr="00781D99" w:rsidRDefault="008B2B3D" w:rsidP="00C058E9">
            <w:pPr>
              <w:tabs>
                <w:tab w:val="left" w:pos="4253"/>
              </w:tabs>
              <w:spacing w:before="120" w:after="120" w:line="240" w:lineRule="auto"/>
              <w:ind w:right="72"/>
              <w:jc w:val="both"/>
              <w:rPr>
                <w:rFonts w:asciiTheme="minorHAnsi" w:hAnsiTheme="minorHAnsi"/>
                <w:sz w:val="24"/>
                <w:szCs w:val="24"/>
              </w:rPr>
            </w:pPr>
            <w:r w:rsidRPr="00781D99">
              <w:rPr>
                <w:rFonts w:asciiTheme="minorHAnsi" w:hAnsiTheme="minorHAnsi"/>
                <w:b/>
                <w:sz w:val="24"/>
                <w:szCs w:val="24"/>
              </w:rPr>
              <w:t>Budapest Főváros Önkormányzata</w:t>
            </w:r>
            <w:r w:rsidRPr="00781D99">
              <w:rPr>
                <w:rFonts w:asciiTheme="minorHAnsi" w:hAnsiTheme="minorHAnsi"/>
                <w:sz w:val="24"/>
                <w:szCs w:val="24"/>
              </w:rPr>
              <w:t xml:space="preserve"> (</w:t>
            </w:r>
            <w:r w:rsidR="009F149E" w:rsidRPr="00781D99">
              <w:rPr>
                <w:rFonts w:asciiTheme="minorHAnsi" w:hAnsiTheme="minorHAnsi"/>
                <w:sz w:val="24"/>
                <w:szCs w:val="24"/>
              </w:rPr>
              <w:t xml:space="preserve">a továbbiakban </w:t>
            </w:r>
            <w:r w:rsidRPr="00781D99">
              <w:rPr>
                <w:rFonts w:asciiTheme="minorHAnsi" w:hAnsiTheme="minorHAnsi"/>
                <w:sz w:val="24"/>
                <w:szCs w:val="24"/>
              </w:rPr>
              <w:t>„</w:t>
            </w:r>
            <w:r w:rsidRPr="00781D99">
              <w:rPr>
                <w:rFonts w:asciiTheme="minorHAnsi" w:hAnsiTheme="minorHAnsi"/>
                <w:b/>
                <w:sz w:val="24"/>
                <w:szCs w:val="24"/>
              </w:rPr>
              <w:t>Önkormányzat</w:t>
            </w:r>
            <w:r w:rsidRPr="00781D99">
              <w:rPr>
                <w:rFonts w:asciiTheme="minorHAnsi" w:hAnsiTheme="minorHAnsi"/>
                <w:sz w:val="24"/>
                <w:szCs w:val="24"/>
              </w:rPr>
              <w:t>”), másrészről a</w:t>
            </w:r>
          </w:p>
        </w:tc>
        <w:tc>
          <w:tcPr>
            <w:tcW w:w="4606" w:type="dxa"/>
          </w:tcPr>
          <w:p w:rsidR="00C37940" w:rsidRPr="00781D99" w:rsidRDefault="00396F65" w:rsidP="00396F65">
            <w:pPr>
              <w:spacing w:before="120" w:after="120" w:line="240" w:lineRule="auto"/>
              <w:ind w:left="72"/>
              <w:jc w:val="both"/>
              <w:rPr>
                <w:rFonts w:asciiTheme="minorHAnsi" w:hAnsiTheme="minorHAnsi"/>
                <w:sz w:val="24"/>
                <w:szCs w:val="24"/>
                <w:lang w:val="en-GB"/>
              </w:rPr>
            </w:pPr>
            <w:r w:rsidRPr="00781D99">
              <w:rPr>
                <w:rFonts w:asciiTheme="minorHAnsi" w:hAnsiTheme="minorHAnsi"/>
                <w:b/>
                <w:sz w:val="24"/>
                <w:szCs w:val="24"/>
                <w:lang w:val="en-GB"/>
              </w:rPr>
              <w:t xml:space="preserve">The </w:t>
            </w:r>
            <w:r w:rsidR="008B3EBC" w:rsidRPr="00781D99">
              <w:rPr>
                <w:rFonts w:asciiTheme="minorHAnsi" w:hAnsiTheme="minorHAnsi"/>
                <w:b/>
                <w:sz w:val="24"/>
                <w:szCs w:val="24"/>
                <w:lang w:val="en-GB"/>
              </w:rPr>
              <w:t xml:space="preserve">Municipality of </w:t>
            </w:r>
            <w:r w:rsidRPr="00781D99">
              <w:rPr>
                <w:rFonts w:asciiTheme="minorHAnsi" w:hAnsiTheme="minorHAnsi"/>
                <w:b/>
                <w:sz w:val="24"/>
                <w:szCs w:val="24"/>
                <w:lang w:val="en-GB"/>
              </w:rPr>
              <w:t>the Capital</w:t>
            </w:r>
            <w:r w:rsidRPr="00781D99">
              <w:rPr>
                <w:rFonts w:asciiTheme="minorHAnsi" w:hAnsiTheme="minorHAnsi"/>
                <w:sz w:val="24"/>
                <w:szCs w:val="24"/>
                <w:lang w:val="en-GB"/>
              </w:rPr>
              <w:t xml:space="preserve"> </w:t>
            </w:r>
            <w:r w:rsidR="00460DEE" w:rsidRPr="00781D99">
              <w:rPr>
                <w:rFonts w:asciiTheme="minorHAnsi" w:hAnsiTheme="minorHAnsi"/>
                <w:b/>
                <w:sz w:val="24"/>
                <w:szCs w:val="24"/>
                <w:lang w:val="en-GB"/>
              </w:rPr>
              <w:t xml:space="preserve">City </w:t>
            </w:r>
            <w:r w:rsidR="008B3EBC" w:rsidRPr="00781D99">
              <w:rPr>
                <w:rFonts w:asciiTheme="minorHAnsi" w:hAnsiTheme="minorHAnsi"/>
                <w:b/>
                <w:sz w:val="24"/>
                <w:szCs w:val="24"/>
                <w:lang w:val="en-GB"/>
              </w:rPr>
              <w:t xml:space="preserve">Budapest </w:t>
            </w:r>
            <w:r w:rsidR="008B3EBC" w:rsidRPr="00781D99">
              <w:rPr>
                <w:rFonts w:asciiTheme="minorHAnsi" w:hAnsiTheme="minorHAnsi"/>
                <w:sz w:val="24"/>
                <w:szCs w:val="24"/>
                <w:lang w:val="en-GB"/>
              </w:rPr>
              <w:t>(</w:t>
            </w:r>
            <w:r w:rsidR="009F149E" w:rsidRPr="00781D99">
              <w:rPr>
                <w:rFonts w:asciiTheme="minorHAnsi" w:hAnsiTheme="minorHAnsi"/>
                <w:sz w:val="24"/>
                <w:szCs w:val="24"/>
                <w:lang w:val="en-GB"/>
              </w:rPr>
              <w:t xml:space="preserve">hereinafter the </w:t>
            </w:r>
            <w:r w:rsidR="008B3EBC" w:rsidRPr="00781D99">
              <w:rPr>
                <w:rFonts w:asciiTheme="minorHAnsi" w:hAnsiTheme="minorHAnsi"/>
                <w:sz w:val="24"/>
                <w:szCs w:val="24"/>
                <w:lang w:val="en-GB"/>
              </w:rPr>
              <w:t>“</w:t>
            </w:r>
            <w:r w:rsidR="008B3EBC" w:rsidRPr="00781D99">
              <w:rPr>
                <w:rFonts w:asciiTheme="minorHAnsi" w:hAnsiTheme="minorHAnsi"/>
                <w:b/>
                <w:sz w:val="24"/>
                <w:szCs w:val="24"/>
                <w:lang w:val="en-GB"/>
              </w:rPr>
              <w:t>Municipality</w:t>
            </w:r>
            <w:r w:rsidR="008B3EBC" w:rsidRPr="00781D99">
              <w:rPr>
                <w:rFonts w:asciiTheme="minorHAnsi" w:hAnsiTheme="minorHAnsi"/>
                <w:sz w:val="24"/>
                <w:szCs w:val="24"/>
                <w:lang w:val="en-GB"/>
              </w:rPr>
              <w:t>”)</w:t>
            </w:r>
            <w:r w:rsidR="009F149E" w:rsidRPr="00781D99">
              <w:rPr>
                <w:rFonts w:asciiTheme="minorHAnsi" w:hAnsiTheme="minorHAnsi"/>
                <w:sz w:val="24"/>
                <w:szCs w:val="24"/>
                <w:lang w:val="en-GB"/>
              </w:rPr>
              <w:t>,</w:t>
            </w:r>
            <w:r w:rsidR="008B3EBC" w:rsidRPr="00781D99">
              <w:rPr>
                <w:rFonts w:asciiTheme="minorHAnsi" w:hAnsiTheme="minorHAnsi"/>
                <w:sz w:val="24"/>
                <w:szCs w:val="24"/>
                <w:lang w:val="en-GB"/>
              </w:rPr>
              <w:t xml:space="preserve"> and</w:t>
            </w:r>
          </w:p>
        </w:tc>
      </w:tr>
      <w:tr w:rsidR="00C37940" w:rsidRPr="00781D99" w:rsidTr="00C058E9">
        <w:tc>
          <w:tcPr>
            <w:tcW w:w="4748" w:type="dxa"/>
          </w:tcPr>
          <w:p w:rsidR="00DC38CD" w:rsidRPr="00781D99" w:rsidRDefault="008B2B3D" w:rsidP="00C058E9">
            <w:pPr>
              <w:spacing w:before="120" w:after="120" w:line="240" w:lineRule="auto"/>
              <w:ind w:right="72"/>
              <w:jc w:val="both"/>
              <w:rPr>
                <w:rFonts w:asciiTheme="minorHAnsi" w:hAnsiTheme="minorHAnsi"/>
                <w:sz w:val="24"/>
                <w:szCs w:val="24"/>
              </w:rPr>
            </w:pPr>
            <w:r w:rsidRPr="00781D99">
              <w:rPr>
                <w:rFonts w:asciiTheme="minorHAnsi" w:hAnsiTheme="minorHAnsi"/>
                <w:b/>
                <w:sz w:val="24"/>
                <w:szCs w:val="24"/>
              </w:rPr>
              <w:t>Hungáriavíz Zrt</w:t>
            </w:r>
            <w:r w:rsidR="009F149E" w:rsidRPr="00781D99">
              <w:rPr>
                <w:rFonts w:asciiTheme="minorHAnsi" w:hAnsiTheme="minorHAnsi"/>
                <w:sz w:val="24"/>
                <w:szCs w:val="24"/>
              </w:rPr>
              <w:t>.</w:t>
            </w:r>
            <w:r w:rsidRPr="00781D99">
              <w:rPr>
                <w:rFonts w:asciiTheme="minorHAnsi" w:hAnsiTheme="minorHAnsi"/>
                <w:sz w:val="24"/>
                <w:szCs w:val="24"/>
              </w:rPr>
              <w:t xml:space="preserve"> (</w:t>
            </w:r>
            <w:r w:rsidR="009F149E" w:rsidRPr="00781D99">
              <w:rPr>
                <w:rFonts w:asciiTheme="minorHAnsi" w:hAnsiTheme="minorHAnsi"/>
                <w:sz w:val="24"/>
                <w:szCs w:val="24"/>
              </w:rPr>
              <w:t xml:space="preserve">a továbbiakban </w:t>
            </w:r>
            <w:r w:rsidRPr="00781D99">
              <w:rPr>
                <w:rFonts w:asciiTheme="minorHAnsi" w:hAnsiTheme="minorHAnsi"/>
                <w:sz w:val="24"/>
                <w:szCs w:val="24"/>
              </w:rPr>
              <w:t>„</w:t>
            </w:r>
            <w:r w:rsidRPr="00781D99">
              <w:rPr>
                <w:rFonts w:asciiTheme="minorHAnsi" w:hAnsiTheme="minorHAnsi"/>
                <w:b/>
                <w:sz w:val="24"/>
                <w:szCs w:val="24"/>
              </w:rPr>
              <w:t>Hungáriavíz</w:t>
            </w:r>
            <w:r w:rsidRPr="00781D99">
              <w:rPr>
                <w:rFonts w:asciiTheme="minorHAnsi" w:hAnsiTheme="minorHAnsi"/>
                <w:sz w:val="24"/>
                <w:szCs w:val="24"/>
              </w:rPr>
              <w:t xml:space="preserve">”), a </w:t>
            </w:r>
            <w:r w:rsidRPr="00781D99">
              <w:rPr>
                <w:rFonts w:asciiTheme="minorHAnsi" w:hAnsiTheme="minorHAnsi"/>
                <w:b/>
                <w:sz w:val="24"/>
                <w:szCs w:val="24"/>
              </w:rPr>
              <w:t>Suez Environnement SA</w:t>
            </w:r>
            <w:r w:rsidRPr="00781D99">
              <w:rPr>
                <w:rFonts w:asciiTheme="minorHAnsi" w:hAnsiTheme="minorHAnsi"/>
                <w:sz w:val="24"/>
                <w:szCs w:val="24"/>
              </w:rPr>
              <w:t xml:space="preserve"> (</w:t>
            </w:r>
            <w:r w:rsidR="009F149E" w:rsidRPr="00781D99">
              <w:rPr>
                <w:rFonts w:asciiTheme="minorHAnsi" w:hAnsiTheme="minorHAnsi"/>
                <w:sz w:val="24"/>
                <w:szCs w:val="24"/>
              </w:rPr>
              <w:t xml:space="preserve">a továbbiakban </w:t>
            </w:r>
            <w:r w:rsidRPr="00781D99">
              <w:rPr>
                <w:rFonts w:asciiTheme="minorHAnsi" w:hAnsiTheme="minorHAnsi"/>
                <w:sz w:val="24"/>
                <w:szCs w:val="24"/>
              </w:rPr>
              <w:t>„</w:t>
            </w:r>
            <w:r w:rsidRPr="00781D99">
              <w:rPr>
                <w:rFonts w:asciiTheme="minorHAnsi" w:hAnsiTheme="minorHAnsi"/>
                <w:b/>
                <w:sz w:val="24"/>
                <w:szCs w:val="24"/>
              </w:rPr>
              <w:t>Suez</w:t>
            </w:r>
            <w:r w:rsidRPr="00781D99">
              <w:rPr>
                <w:rFonts w:asciiTheme="minorHAnsi" w:hAnsiTheme="minorHAnsi"/>
                <w:sz w:val="24"/>
                <w:szCs w:val="24"/>
              </w:rPr>
              <w:t xml:space="preserve">”) és az </w:t>
            </w:r>
            <w:r w:rsidRPr="00781D99">
              <w:rPr>
                <w:rFonts w:asciiTheme="minorHAnsi" w:hAnsiTheme="minorHAnsi"/>
                <w:b/>
                <w:sz w:val="24"/>
                <w:szCs w:val="24"/>
              </w:rPr>
              <w:t>RWE Aqua Gmb</w:t>
            </w:r>
            <w:r w:rsidR="00113D9E" w:rsidRPr="00781D99">
              <w:rPr>
                <w:rFonts w:asciiTheme="minorHAnsi" w:hAnsiTheme="minorHAnsi"/>
                <w:b/>
                <w:sz w:val="24"/>
                <w:szCs w:val="24"/>
              </w:rPr>
              <w:t>H</w:t>
            </w:r>
            <w:r w:rsidRPr="00781D99">
              <w:rPr>
                <w:rFonts w:asciiTheme="minorHAnsi" w:hAnsiTheme="minorHAnsi"/>
                <w:sz w:val="24"/>
                <w:szCs w:val="24"/>
              </w:rPr>
              <w:t xml:space="preserve"> (</w:t>
            </w:r>
            <w:r w:rsidR="009F149E" w:rsidRPr="00781D99">
              <w:rPr>
                <w:rFonts w:asciiTheme="minorHAnsi" w:hAnsiTheme="minorHAnsi"/>
                <w:sz w:val="24"/>
                <w:szCs w:val="24"/>
              </w:rPr>
              <w:t xml:space="preserve">a továbbiakban </w:t>
            </w:r>
            <w:r w:rsidRPr="00781D99">
              <w:rPr>
                <w:rFonts w:asciiTheme="minorHAnsi" w:hAnsiTheme="minorHAnsi"/>
                <w:sz w:val="24"/>
                <w:szCs w:val="24"/>
              </w:rPr>
              <w:t>„</w:t>
            </w:r>
            <w:r w:rsidRPr="00781D99">
              <w:rPr>
                <w:rFonts w:asciiTheme="minorHAnsi" w:hAnsiTheme="minorHAnsi"/>
                <w:b/>
                <w:sz w:val="24"/>
                <w:szCs w:val="24"/>
              </w:rPr>
              <w:t>RWE</w:t>
            </w:r>
            <w:r w:rsidRPr="00781D99">
              <w:rPr>
                <w:rFonts w:asciiTheme="minorHAnsi" w:hAnsiTheme="minorHAnsi"/>
                <w:sz w:val="24"/>
                <w:szCs w:val="24"/>
              </w:rPr>
              <w:t>”) (a</w:t>
            </w:r>
            <w:r w:rsidR="009F149E" w:rsidRPr="00781D99">
              <w:rPr>
                <w:rFonts w:asciiTheme="minorHAnsi" w:hAnsiTheme="minorHAnsi"/>
                <w:sz w:val="24"/>
                <w:szCs w:val="24"/>
              </w:rPr>
              <w:t xml:space="preserve"> Hungáriavíz, a Suez és az RWE a</w:t>
            </w:r>
            <w:r w:rsidRPr="00781D99">
              <w:rPr>
                <w:rFonts w:asciiTheme="minorHAnsi" w:hAnsiTheme="minorHAnsi"/>
                <w:sz w:val="24"/>
                <w:szCs w:val="24"/>
              </w:rPr>
              <w:t xml:space="preserve"> továbbiakban közösen „</w:t>
            </w:r>
            <w:r w:rsidRPr="00781D99">
              <w:rPr>
                <w:rFonts w:asciiTheme="minorHAnsi" w:hAnsiTheme="minorHAnsi"/>
                <w:b/>
                <w:sz w:val="24"/>
                <w:szCs w:val="24"/>
              </w:rPr>
              <w:t>Befektetők</w:t>
            </w:r>
            <w:r w:rsidRPr="00781D99">
              <w:rPr>
                <w:rFonts w:asciiTheme="minorHAnsi" w:hAnsiTheme="minorHAnsi"/>
                <w:sz w:val="24"/>
                <w:szCs w:val="24"/>
              </w:rPr>
              <w:t>”)</w:t>
            </w:r>
            <w:r w:rsidR="00ED2BB8" w:rsidRPr="00781D99">
              <w:rPr>
                <w:rFonts w:asciiTheme="minorHAnsi" w:hAnsiTheme="minorHAnsi"/>
                <w:sz w:val="24"/>
                <w:szCs w:val="24"/>
              </w:rPr>
              <w:t>, akiknek képviseletében a Suez jár el</w:t>
            </w:r>
          </w:p>
        </w:tc>
        <w:tc>
          <w:tcPr>
            <w:tcW w:w="4606" w:type="dxa"/>
          </w:tcPr>
          <w:p w:rsidR="00C37940" w:rsidRPr="00781D99" w:rsidRDefault="009F149E" w:rsidP="009F149E">
            <w:pPr>
              <w:spacing w:before="120" w:after="120" w:line="240" w:lineRule="auto"/>
              <w:ind w:left="72"/>
              <w:jc w:val="both"/>
              <w:rPr>
                <w:rFonts w:asciiTheme="minorHAnsi" w:hAnsiTheme="minorHAnsi"/>
                <w:sz w:val="24"/>
                <w:szCs w:val="24"/>
              </w:rPr>
            </w:pPr>
            <w:r w:rsidRPr="00781D99">
              <w:rPr>
                <w:rFonts w:asciiTheme="minorHAnsi" w:hAnsiTheme="minorHAnsi"/>
                <w:b/>
                <w:sz w:val="24"/>
                <w:szCs w:val="24"/>
              </w:rPr>
              <w:t>Hungáriavíz Zrt</w:t>
            </w:r>
            <w:r w:rsidRPr="00781D99">
              <w:rPr>
                <w:rFonts w:asciiTheme="minorHAnsi" w:hAnsiTheme="minorHAnsi"/>
                <w:sz w:val="24"/>
                <w:szCs w:val="24"/>
              </w:rPr>
              <w:t xml:space="preserve"> (hereinafter „</w:t>
            </w:r>
            <w:r w:rsidRPr="00781D99">
              <w:rPr>
                <w:rFonts w:asciiTheme="minorHAnsi" w:hAnsiTheme="minorHAnsi"/>
                <w:b/>
                <w:sz w:val="24"/>
                <w:szCs w:val="24"/>
              </w:rPr>
              <w:t>Hungáriavíz</w:t>
            </w:r>
            <w:r w:rsidRPr="00781D99">
              <w:rPr>
                <w:rFonts w:asciiTheme="minorHAnsi" w:hAnsiTheme="minorHAnsi"/>
                <w:sz w:val="24"/>
                <w:szCs w:val="24"/>
              </w:rPr>
              <w:t xml:space="preserve">”), </w:t>
            </w:r>
            <w:r w:rsidRPr="00781D99">
              <w:rPr>
                <w:rFonts w:asciiTheme="minorHAnsi" w:hAnsiTheme="minorHAnsi"/>
                <w:b/>
                <w:sz w:val="24"/>
                <w:szCs w:val="24"/>
              </w:rPr>
              <w:t>Suez</w:t>
            </w:r>
            <w:r w:rsidRPr="00781D99">
              <w:rPr>
                <w:rFonts w:asciiTheme="minorHAnsi" w:hAnsiTheme="minorHAnsi"/>
                <w:sz w:val="24"/>
                <w:szCs w:val="24"/>
              </w:rPr>
              <w:t xml:space="preserve"> </w:t>
            </w:r>
            <w:r w:rsidRPr="00781D99">
              <w:rPr>
                <w:rFonts w:asciiTheme="minorHAnsi" w:hAnsiTheme="minorHAnsi"/>
                <w:b/>
                <w:sz w:val="24"/>
                <w:szCs w:val="24"/>
              </w:rPr>
              <w:t>Environnement SA</w:t>
            </w:r>
            <w:r w:rsidRPr="00781D99">
              <w:rPr>
                <w:rFonts w:asciiTheme="minorHAnsi" w:hAnsiTheme="minorHAnsi"/>
                <w:sz w:val="24"/>
                <w:szCs w:val="24"/>
              </w:rPr>
              <w:t xml:space="preserve"> (hereinafter „</w:t>
            </w:r>
            <w:r w:rsidRPr="00781D99">
              <w:rPr>
                <w:rFonts w:asciiTheme="minorHAnsi" w:hAnsiTheme="minorHAnsi"/>
                <w:b/>
                <w:sz w:val="24"/>
                <w:szCs w:val="24"/>
              </w:rPr>
              <w:t>Suez</w:t>
            </w:r>
            <w:r w:rsidRPr="00781D99">
              <w:rPr>
                <w:rFonts w:asciiTheme="minorHAnsi" w:hAnsiTheme="minorHAnsi"/>
                <w:sz w:val="24"/>
                <w:szCs w:val="24"/>
              </w:rPr>
              <w:t xml:space="preserve">”) and </w:t>
            </w:r>
            <w:r w:rsidRPr="00781D99">
              <w:rPr>
                <w:rFonts w:asciiTheme="minorHAnsi" w:hAnsiTheme="minorHAnsi"/>
                <w:b/>
                <w:sz w:val="24"/>
                <w:szCs w:val="24"/>
              </w:rPr>
              <w:t>RWE Aqua Gmb</w:t>
            </w:r>
            <w:r w:rsidR="00CB0D53" w:rsidRPr="00781D99">
              <w:rPr>
                <w:rFonts w:asciiTheme="minorHAnsi" w:hAnsiTheme="minorHAnsi"/>
                <w:b/>
                <w:sz w:val="24"/>
                <w:szCs w:val="24"/>
              </w:rPr>
              <w:t>H</w:t>
            </w:r>
            <w:r w:rsidRPr="00781D99">
              <w:rPr>
                <w:rFonts w:asciiTheme="minorHAnsi" w:hAnsiTheme="minorHAnsi"/>
                <w:sz w:val="24"/>
                <w:szCs w:val="24"/>
              </w:rPr>
              <w:t xml:space="preserve"> (hereinafter „</w:t>
            </w:r>
            <w:r w:rsidRPr="00781D99">
              <w:rPr>
                <w:rFonts w:asciiTheme="minorHAnsi" w:hAnsiTheme="minorHAnsi"/>
                <w:b/>
                <w:sz w:val="24"/>
                <w:szCs w:val="24"/>
              </w:rPr>
              <w:t>RWE</w:t>
            </w:r>
            <w:r w:rsidRPr="00781D99">
              <w:rPr>
                <w:rFonts w:asciiTheme="minorHAnsi" w:hAnsiTheme="minorHAnsi"/>
                <w:sz w:val="24"/>
                <w:szCs w:val="24"/>
              </w:rPr>
              <w:t>”) (Hungáriavíz, Suez and RWE are hereinafter jointly the „</w:t>
            </w:r>
            <w:r w:rsidRPr="00781D99">
              <w:rPr>
                <w:rFonts w:asciiTheme="minorHAnsi" w:hAnsiTheme="minorHAnsi"/>
                <w:b/>
                <w:sz w:val="24"/>
                <w:szCs w:val="24"/>
              </w:rPr>
              <w:t>Investors</w:t>
            </w:r>
            <w:r w:rsidRPr="00781D99">
              <w:rPr>
                <w:rFonts w:asciiTheme="minorHAnsi" w:hAnsiTheme="minorHAnsi"/>
                <w:sz w:val="24"/>
                <w:szCs w:val="24"/>
              </w:rPr>
              <w:t>”)</w:t>
            </w:r>
            <w:r w:rsidR="00ED2BB8" w:rsidRPr="00781D99">
              <w:rPr>
                <w:rFonts w:asciiTheme="minorHAnsi" w:hAnsiTheme="minorHAnsi"/>
                <w:sz w:val="24"/>
                <w:szCs w:val="24"/>
              </w:rPr>
              <w:t>, represented by Suez</w:t>
            </w:r>
          </w:p>
        </w:tc>
      </w:tr>
      <w:tr w:rsidR="00C37940" w:rsidRPr="00781D99" w:rsidTr="00C058E9">
        <w:tc>
          <w:tcPr>
            <w:tcW w:w="4748" w:type="dxa"/>
          </w:tcPr>
          <w:p w:rsidR="00C37940" w:rsidRPr="00781D99" w:rsidRDefault="008B2B3D" w:rsidP="00C058E9">
            <w:pPr>
              <w:spacing w:before="120" w:after="120" w:line="240" w:lineRule="auto"/>
              <w:ind w:right="72"/>
              <w:jc w:val="both"/>
              <w:rPr>
                <w:rFonts w:asciiTheme="minorHAnsi" w:hAnsiTheme="minorHAnsi"/>
                <w:sz w:val="24"/>
                <w:szCs w:val="24"/>
              </w:rPr>
            </w:pPr>
            <w:r w:rsidRPr="00781D99">
              <w:rPr>
                <w:rFonts w:asciiTheme="minorHAnsi" w:hAnsiTheme="minorHAnsi"/>
                <w:sz w:val="24"/>
                <w:szCs w:val="24"/>
              </w:rPr>
              <w:t>(az Önkormányzat és a Befektetők továbbiakban együttesen „</w:t>
            </w:r>
            <w:r w:rsidRPr="00781D99">
              <w:rPr>
                <w:rFonts w:asciiTheme="minorHAnsi" w:hAnsiTheme="minorHAnsi"/>
                <w:b/>
                <w:sz w:val="24"/>
                <w:szCs w:val="24"/>
              </w:rPr>
              <w:t>Felek</w:t>
            </w:r>
            <w:r w:rsidRPr="00781D99">
              <w:rPr>
                <w:rFonts w:asciiTheme="minorHAnsi" w:hAnsiTheme="minorHAnsi"/>
                <w:sz w:val="24"/>
                <w:szCs w:val="24"/>
              </w:rPr>
              <w:t xml:space="preserve">”) </w:t>
            </w:r>
          </w:p>
        </w:tc>
        <w:tc>
          <w:tcPr>
            <w:tcW w:w="4606" w:type="dxa"/>
          </w:tcPr>
          <w:p w:rsidR="00C37940" w:rsidRPr="00781D99" w:rsidRDefault="009F149E" w:rsidP="009F149E">
            <w:pPr>
              <w:spacing w:before="120" w:after="120" w:line="240" w:lineRule="auto"/>
              <w:ind w:left="72"/>
              <w:jc w:val="both"/>
              <w:rPr>
                <w:rFonts w:asciiTheme="minorHAnsi" w:hAnsiTheme="minorHAnsi"/>
                <w:sz w:val="24"/>
                <w:szCs w:val="24"/>
                <w:lang w:val="en-GB"/>
              </w:rPr>
            </w:pPr>
            <w:r w:rsidRPr="00781D99">
              <w:rPr>
                <w:rFonts w:asciiTheme="minorHAnsi" w:hAnsiTheme="minorHAnsi"/>
                <w:sz w:val="24"/>
                <w:szCs w:val="24"/>
                <w:lang w:val="en-GB"/>
              </w:rPr>
              <w:t>(the Municipality and the Investors are hereinafter together the “</w:t>
            </w:r>
            <w:r w:rsidRPr="00781D99">
              <w:rPr>
                <w:rFonts w:asciiTheme="minorHAnsi" w:hAnsiTheme="minorHAnsi"/>
                <w:b/>
                <w:sz w:val="24"/>
                <w:szCs w:val="24"/>
                <w:lang w:val="en-GB"/>
              </w:rPr>
              <w:t>Parties</w:t>
            </w:r>
            <w:r w:rsidRPr="00781D99">
              <w:rPr>
                <w:rFonts w:asciiTheme="minorHAnsi" w:hAnsiTheme="minorHAnsi"/>
                <w:sz w:val="24"/>
                <w:szCs w:val="24"/>
                <w:lang w:val="en-GB"/>
              </w:rPr>
              <w:t>”)</w:t>
            </w:r>
          </w:p>
        </w:tc>
      </w:tr>
      <w:tr w:rsidR="00C37940" w:rsidRPr="00781D99" w:rsidTr="00C058E9">
        <w:tc>
          <w:tcPr>
            <w:tcW w:w="4748" w:type="dxa"/>
          </w:tcPr>
          <w:p w:rsidR="00C37940" w:rsidRPr="00781D99" w:rsidRDefault="009F149E" w:rsidP="00C058E9">
            <w:pPr>
              <w:spacing w:before="120" w:after="120" w:line="240" w:lineRule="auto"/>
              <w:ind w:right="72"/>
              <w:jc w:val="both"/>
              <w:rPr>
                <w:rFonts w:asciiTheme="minorHAnsi" w:hAnsiTheme="minorHAnsi"/>
                <w:sz w:val="24"/>
                <w:szCs w:val="24"/>
              </w:rPr>
            </w:pPr>
            <w:r w:rsidRPr="00781D99">
              <w:rPr>
                <w:rFonts w:asciiTheme="minorHAnsi" w:hAnsiTheme="minorHAnsi"/>
                <w:sz w:val="24"/>
                <w:szCs w:val="24"/>
              </w:rPr>
              <w:t>között,</w:t>
            </w:r>
            <w:r w:rsidR="008B2B3D" w:rsidRPr="00781D99">
              <w:rPr>
                <w:rFonts w:asciiTheme="minorHAnsi" w:hAnsiTheme="minorHAnsi"/>
                <w:sz w:val="24"/>
                <w:szCs w:val="24"/>
              </w:rPr>
              <w:t xml:space="preserve"> az alábbi napon, a következőek szerint:</w:t>
            </w:r>
          </w:p>
        </w:tc>
        <w:tc>
          <w:tcPr>
            <w:tcW w:w="4606" w:type="dxa"/>
          </w:tcPr>
          <w:p w:rsidR="00C37940" w:rsidRPr="00781D99" w:rsidRDefault="009F149E" w:rsidP="009F149E">
            <w:pPr>
              <w:spacing w:before="120" w:after="120" w:line="240" w:lineRule="auto"/>
              <w:ind w:left="72"/>
              <w:jc w:val="both"/>
              <w:rPr>
                <w:rFonts w:asciiTheme="minorHAnsi" w:hAnsiTheme="minorHAnsi"/>
                <w:sz w:val="24"/>
                <w:szCs w:val="24"/>
                <w:lang w:val="en-GB"/>
              </w:rPr>
            </w:pPr>
            <w:r w:rsidRPr="00781D99">
              <w:rPr>
                <w:rFonts w:asciiTheme="minorHAnsi" w:hAnsiTheme="minorHAnsi"/>
                <w:sz w:val="24"/>
                <w:szCs w:val="24"/>
                <w:lang w:val="en-GB"/>
              </w:rPr>
              <w:t>on the date indicated below, as follows:</w:t>
            </w:r>
          </w:p>
        </w:tc>
      </w:tr>
      <w:tr w:rsidR="00C37940" w:rsidRPr="00781D99" w:rsidTr="00C058E9">
        <w:tc>
          <w:tcPr>
            <w:tcW w:w="4748" w:type="dxa"/>
          </w:tcPr>
          <w:p w:rsidR="00D74769" w:rsidRPr="00781D99" w:rsidRDefault="008B2B3D" w:rsidP="00C058E9">
            <w:pPr>
              <w:pStyle w:val="ListParagraph1"/>
              <w:numPr>
                <w:ilvl w:val="0"/>
                <w:numId w:val="1"/>
              </w:numPr>
              <w:spacing w:before="120" w:after="120" w:line="240" w:lineRule="auto"/>
              <w:ind w:left="284" w:right="72" w:hanging="284"/>
              <w:contextualSpacing w:val="0"/>
              <w:jc w:val="both"/>
              <w:rPr>
                <w:rFonts w:asciiTheme="minorHAnsi" w:hAnsiTheme="minorHAnsi"/>
                <w:sz w:val="24"/>
                <w:szCs w:val="24"/>
              </w:rPr>
            </w:pPr>
            <w:r w:rsidRPr="00781D99">
              <w:rPr>
                <w:rFonts w:asciiTheme="minorHAnsi" w:hAnsiTheme="minorHAnsi"/>
                <w:sz w:val="24"/>
                <w:szCs w:val="24"/>
              </w:rPr>
              <w:t>A</w:t>
            </w:r>
            <w:r w:rsidR="00B014DB" w:rsidRPr="00781D99">
              <w:rPr>
                <w:rFonts w:asciiTheme="minorHAnsi" w:hAnsiTheme="minorHAnsi"/>
                <w:sz w:val="24"/>
                <w:szCs w:val="24"/>
              </w:rPr>
              <w:t xml:space="preserve"> Felek</w:t>
            </w:r>
            <w:r w:rsidR="00DC38CD" w:rsidRPr="00781D99">
              <w:rPr>
                <w:rFonts w:asciiTheme="minorHAnsi" w:hAnsiTheme="minorHAnsi"/>
                <w:sz w:val="24"/>
                <w:szCs w:val="24"/>
              </w:rPr>
              <w:t>, mint</w:t>
            </w:r>
            <w:r w:rsidRPr="00781D99">
              <w:rPr>
                <w:rFonts w:asciiTheme="minorHAnsi" w:hAnsiTheme="minorHAnsi"/>
                <w:sz w:val="24"/>
                <w:szCs w:val="24"/>
              </w:rPr>
              <w:t xml:space="preserve"> </w:t>
            </w:r>
            <w:r w:rsidR="00DC38CD" w:rsidRPr="00781D99">
              <w:rPr>
                <w:rFonts w:asciiTheme="minorHAnsi" w:hAnsiTheme="minorHAnsi"/>
                <w:sz w:val="24"/>
                <w:szCs w:val="24"/>
              </w:rPr>
              <w:t>a</w:t>
            </w:r>
            <w:r w:rsidR="00AD7F1E" w:rsidRPr="00781D99">
              <w:rPr>
                <w:rFonts w:asciiTheme="minorHAnsi" w:hAnsiTheme="minorHAnsi"/>
                <w:sz w:val="24"/>
                <w:szCs w:val="24"/>
              </w:rPr>
              <w:t xml:space="preserve"> Fővárosi Vízművek Zrt. (a továbbiakban „</w:t>
            </w:r>
            <w:r w:rsidR="00AD7F1E" w:rsidRPr="00781D99">
              <w:rPr>
                <w:rFonts w:asciiTheme="minorHAnsi" w:hAnsiTheme="minorHAnsi"/>
                <w:b/>
                <w:sz w:val="24"/>
                <w:szCs w:val="24"/>
              </w:rPr>
              <w:t>Társaság</w:t>
            </w:r>
            <w:r w:rsidR="00AD7F1E" w:rsidRPr="00781D99">
              <w:rPr>
                <w:rFonts w:asciiTheme="minorHAnsi" w:hAnsiTheme="minorHAnsi"/>
                <w:sz w:val="24"/>
                <w:szCs w:val="24"/>
              </w:rPr>
              <w:t>” vagy „</w:t>
            </w:r>
            <w:r w:rsidR="00AD7F1E" w:rsidRPr="00781D99">
              <w:rPr>
                <w:rFonts w:asciiTheme="minorHAnsi" w:hAnsiTheme="minorHAnsi"/>
                <w:b/>
                <w:sz w:val="24"/>
                <w:szCs w:val="24"/>
              </w:rPr>
              <w:t>FVM</w:t>
            </w:r>
            <w:r w:rsidR="00AD7F1E" w:rsidRPr="00781D99">
              <w:rPr>
                <w:rFonts w:asciiTheme="minorHAnsi" w:hAnsiTheme="minorHAnsi"/>
                <w:sz w:val="24"/>
                <w:szCs w:val="24"/>
              </w:rPr>
              <w:t xml:space="preserve">”) </w:t>
            </w:r>
            <w:r w:rsidRPr="00781D99">
              <w:rPr>
                <w:rFonts w:asciiTheme="minorHAnsi" w:hAnsiTheme="minorHAnsi"/>
                <w:sz w:val="24"/>
                <w:szCs w:val="24"/>
              </w:rPr>
              <w:t>részvénye</w:t>
            </w:r>
            <w:r w:rsidR="009F149E" w:rsidRPr="00781D99">
              <w:rPr>
                <w:rFonts w:asciiTheme="minorHAnsi" w:hAnsiTheme="minorHAnsi"/>
                <w:sz w:val="24"/>
                <w:szCs w:val="24"/>
              </w:rPr>
              <w:t>sei, h</w:t>
            </w:r>
            <w:r w:rsidRPr="00781D99">
              <w:rPr>
                <w:rFonts w:asciiTheme="minorHAnsi" w:hAnsiTheme="minorHAnsi"/>
                <w:sz w:val="24"/>
                <w:szCs w:val="24"/>
              </w:rPr>
              <w:t>ivatkoznak</w:t>
            </w:r>
            <w:r w:rsidR="00C536E4" w:rsidRPr="00781D99">
              <w:rPr>
                <w:rFonts w:asciiTheme="minorHAnsi" w:hAnsiTheme="minorHAnsi"/>
                <w:sz w:val="24"/>
                <w:szCs w:val="24"/>
              </w:rPr>
              <w:t xml:space="preserve"> (i)</w:t>
            </w:r>
            <w:r w:rsidRPr="00781D99">
              <w:rPr>
                <w:rFonts w:asciiTheme="minorHAnsi" w:hAnsiTheme="minorHAnsi"/>
                <w:sz w:val="24"/>
                <w:szCs w:val="24"/>
              </w:rPr>
              <w:t xml:space="preserve"> az Önkormányzat és a Befektetők jogelődjei között 1997. április 11-én létrejött</w:t>
            </w:r>
            <w:r w:rsidR="000D21E6" w:rsidRPr="00781D99">
              <w:rPr>
                <w:rFonts w:asciiTheme="minorHAnsi" w:hAnsiTheme="minorHAnsi"/>
                <w:sz w:val="24"/>
                <w:szCs w:val="24"/>
              </w:rPr>
              <w:t xml:space="preserve"> részvény</w:t>
            </w:r>
            <w:r w:rsidR="00C058E9" w:rsidRPr="00781D99">
              <w:rPr>
                <w:rFonts w:asciiTheme="minorHAnsi" w:hAnsiTheme="minorHAnsi"/>
                <w:sz w:val="24"/>
                <w:szCs w:val="24"/>
              </w:rPr>
              <w:t>-</w:t>
            </w:r>
            <w:r w:rsidR="000D21E6" w:rsidRPr="00781D99">
              <w:rPr>
                <w:rFonts w:asciiTheme="minorHAnsi" w:hAnsiTheme="minorHAnsi"/>
                <w:sz w:val="24"/>
                <w:szCs w:val="24"/>
              </w:rPr>
              <w:t xml:space="preserve">adásvételi szerződésre, </w:t>
            </w:r>
            <w:r w:rsidR="00F73F04" w:rsidRPr="00781D99">
              <w:rPr>
                <w:rFonts w:asciiTheme="minorHAnsi" w:hAnsiTheme="minorHAnsi"/>
                <w:sz w:val="24"/>
                <w:szCs w:val="24"/>
              </w:rPr>
              <w:t xml:space="preserve">(ii) </w:t>
            </w:r>
            <w:r w:rsidR="000D21E6" w:rsidRPr="00781D99">
              <w:rPr>
                <w:rFonts w:asciiTheme="minorHAnsi" w:hAnsiTheme="minorHAnsi"/>
                <w:sz w:val="24"/>
                <w:szCs w:val="24"/>
              </w:rPr>
              <w:t>az ugyanazon felek között, azonos napon létrejött</w:t>
            </w:r>
            <w:r w:rsidRPr="00781D99">
              <w:rPr>
                <w:rFonts w:asciiTheme="minorHAnsi" w:hAnsiTheme="minorHAnsi"/>
                <w:sz w:val="24"/>
                <w:szCs w:val="24"/>
              </w:rPr>
              <w:t>, és a Társaság működtetésére, valamint a Társasághoz kapcsolódó egy</w:t>
            </w:r>
            <w:r w:rsidR="00C536E4" w:rsidRPr="00781D99">
              <w:rPr>
                <w:rFonts w:asciiTheme="minorHAnsi" w:hAnsiTheme="minorHAnsi"/>
                <w:sz w:val="24"/>
                <w:szCs w:val="24"/>
              </w:rPr>
              <w:t>es további kérdésekre vonatkozó</w:t>
            </w:r>
            <w:r w:rsidRPr="00781D99">
              <w:rPr>
                <w:rFonts w:asciiTheme="minorHAnsi" w:hAnsiTheme="minorHAnsi"/>
                <w:sz w:val="24"/>
                <w:szCs w:val="24"/>
              </w:rPr>
              <w:t xml:space="preserve"> </w:t>
            </w:r>
            <w:r w:rsidRPr="00781D99">
              <w:rPr>
                <w:rFonts w:asciiTheme="minorHAnsi" w:hAnsiTheme="minorHAnsi"/>
                <w:i/>
                <w:sz w:val="24"/>
                <w:szCs w:val="24"/>
              </w:rPr>
              <w:t xml:space="preserve">Szindikátusi és Menedzsment Szerződésre és annak módosításaira </w:t>
            </w:r>
            <w:r w:rsidRPr="00781D99">
              <w:rPr>
                <w:rFonts w:asciiTheme="minorHAnsi" w:hAnsiTheme="minorHAnsi"/>
                <w:sz w:val="24"/>
                <w:szCs w:val="24"/>
              </w:rPr>
              <w:t>(</w:t>
            </w:r>
            <w:r w:rsidR="00066E07" w:rsidRPr="00781D99">
              <w:rPr>
                <w:rFonts w:asciiTheme="minorHAnsi" w:hAnsiTheme="minorHAnsi"/>
                <w:sz w:val="24"/>
                <w:szCs w:val="24"/>
              </w:rPr>
              <w:t xml:space="preserve">a </w:t>
            </w:r>
            <w:r w:rsidRPr="00781D99">
              <w:rPr>
                <w:rFonts w:asciiTheme="minorHAnsi" w:hAnsiTheme="minorHAnsi"/>
                <w:sz w:val="24"/>
                <w:szCs w:val="24"/>
              </w:rPr>
              <w:t>tovább</w:t>
            </w:r>
            <w:r w:rsidR="00066E07" w:rsidRPr="00781D99">
              <w:rPr>
                <w:rFonts w:asciiTheme="minorHAnsi" w:hAnsiTheme="minorHAnsi"/>
                <w:sz w:val="24"/>
                <w:szCs w:val="24"/>
              </w:rPr>
              <w:t xml:space="preserve">iakban együttesen </w:t>
            </w:r>
            <w:r w:rsidR="00C536E4" w:rsidRPr="00781D99">
              <w:rPr>
                <w:rFonts w:asciiTheme="minorHAnsi" w:hAnsiTheme="minorHAnsi"/>
                <w:sz w:val="24"/>
                <w:szCs w:val="24"/>
              </w:rPr>
              <w:t>„</w:t>
            </w:r>
            <w:r w:rsidR="00113D9E" w:rsidRPr="00781D99">
              <w:rPr>
                <w:rFonts w:asciiTheme="minorHAnsi" w:hAnsiTheme="minorHAnsi"/>
                <w:b/>
                <w:sz w:val="24"/>
                <w:szCs w:val="24"/>
              </w:rPr>
              <w:t>SZIMSZ</w:t>
            </w:r>
            <w:r w:rsidR="00C536E4" w:rsidRPr="00781D99">
              <w:rPr>
                <w:rFonts w:asciiTheme="minorHAnsi" w:hAnsiTheme="minorHAnsi"/>
                <w:sz w:val="24"/>
                <w:szCs w:val="24"/>
              </w:rPr>
              <w:t>”), (iii)</w:t>
            </w:r>
            <w:r w:rsidRPr="00781D99">
              <w:rPr>
                <w:rFonts w:asciiTheme="minorHAnsi" w:hAnsiTheme="minorHAnsi"/>
                <w:sz w:val="24"/>
                <w:szCs w:val="24"/>
              </w:rPr>
              <w:t xml:space="preserve"> a </w:t>
            </w:r>
            <w:r w:rsidR="00113D9E" w:rsidRPr="00781D99">
              <w:rPr>
                <w:rFonts w:asciiTheme="minorHAnsi" w:hAnsiTheme="minorHAnsi"/>
                <w:sz w:val="24"/>
                <w:szCs w:val="24"/>
              </w:rPr>
              <w:t>SZIMSZ</w:t>
            </w:r>
            <w:r w:rsidR="00F73F04" w:rsidRPr="00781D99">
              <w:rPr>
                <w:rFonts w:asciiTheme="minorHAnsi" w:hAnsiTheme="minorHAnsi"/>
                <w:sz w:val="24"/>
                <w:szCs w:val="24"/>
              </w:rPr>
              <w:t xml:space="preserve"> </w:t>
            </w:r>
            <w:r w:rsidR="00A40E80" w:rsidRPr="00781D99">
              <w:rPr>
                <w:rFonts w:asciiTheme="minorHAnsi" w:hAnsiTheme="minorHAnsi"/>
                <w:sz w:val="24"/>
                <w:szCs w:val="24"/>
              </w:rPr>
              <w:t>módosításaira, valamint (iv) az előbbiekkel összefüggő további megállapodásokra</w:t>
            </w:r>
            <w:r w:rsidR="00332E0C" w:rsidRPr="00781D99">
              <w:rPr>
                <w:rFonts w:asciiTheme="minorHAnsi" w:hAnsiTheme="minorHAnsi"/>
                <w:sz w:val="24"/>
                <w:szCs w:val="24"/>
              </w:rPr>
              <w:t xml:space="preserve"> (a jelen 1-es pontban megnevezett dokumentumok a továbbiakban együttesen a „</w:t>
            </w:r>
            <w:r w:rsidR="00332E0C" w:rsidRPr="00781D99">
              <w:rPr>
                <w:rFonts w:asciiTheme="minorHAnsi" w:hAnsiTheme="minorHAnsi"/>
                <w:b/>
                <w:sz w:val="24"/>
                <w:szCs w:val="24"/>
              </w:rPr>
              <w:t>Projekt Dokumentumok</w:t>
            </w:r>
            <w:r w:rsidR="00332E0C" w:rsidRPr="00781D99">
              <w:rPr>
                <w:rFonts w:asciiTheme="minorHAnsi" w:hAnsiTheme="minorHAnsi"/>
                <w:sz w:val="24"/>
                <w:szCs w:val="24"/>
              </w:rPr>
              <w:t>”)</w:t>
            </w:r>
            <w:r w:rsidR="00A40E80" w:rsidRPr="00781D99">
              <w:rPr>
                <w:rFonts w:asciiTheme="minorHAnsi" w:hAnsiTheme="minorHAnsi"/>
                <w:sz w:val="24"/>
                <w:szCs w:val="24"/>
              </w:rPr>
              <w:t xml:space="preserve">. </w:t>
            </w:r>
          </w:p>
        </w:tc>
        <w:tc>
          <w:tcPr>
            <w:tcW w:w="4606" w:type="dxa"/>
          </w:tcPr>
          <w:p w:rsidR="00C37940" w:rsidRPr="00781D99" w:rsidRDefault="009F149E" w:rsidP="00113D9E">
            <w:pPr>
              <w:pStyle w:val="ListParagraph1"/>
              <w:numPr>
                <w:ilvl w:val="0"/>
                <w:numId w:val="4"/>
              </w:numPr>
              <w:spacing w:before="120" w:after="120" w:line="240" w:lineRule="auto"/>
              <w:ind w:left="356" w:hanging="284"/>
              <w:contextualSpacing w:val="0"/>
              <w:jc w:val="both"/>
              <w:rPr>
                <w:rFonts w:asciiTheme="minorHAnsi" w:hAnsiTheme="minorHAnsi"/>
                <w:sz w:val="24"/>
                <w:szCs w:val="24"/>
                <w:lang w:val="en-GB"/>
              </w:rPr>
            </w:pPr>
            <w:r w:rsidRPr="00781D99">
              <w:rPr>
                <w:rFonts w:asciiTheme="minorHAnsi" w:hAnsiTheme="minorHAnsi"/>
                <w:sz w:val="24"/>
                <w:szCs w:val="24"/>
                <w:lang w:val="en-GB"/>
              </w:rPr>
              <w:t>The Parties, as the shareholders of Fővárosi Vízművek Zrt (hereinafter the „</w:t>
            </w:r>
            <w:r w:rsidRPr="00781D99">
              <w:rPr>
                <w:rFonts w:asciiTheme="minorHAnsi" w:hAnsiTheme="minorHAnsi"/>
                <w:b/>
                <w:sz w:val="24"/>
                <w:szCs w:val="24"/>
                <w:lang w:val="en-GB"/>
              </w:rPr>
              <w:t>Company</w:t>
            </w:r>
            <w:r w:rsidRPr="00781D99">
              <w:rPr>
                <w:rFonts w:asciiTheme="minorHAnsi" w:hAnsiTheme="minorHAnsi"/>
                <w:sz w:val="24"/>
                <w:szCs w:val="24"/>
                <w:lang w:val="en-GB"/>
              </w:rPr>
              <w:t xml:space="preserve">”), </w:t>
            </w:r>
            <w:r w:rsidR="00C536E4" w:rsidRPr="00781D99">
              <w:rPr>
                <w:rFonts w:asciiTheme="minorHAnsi" w:hAnsiTheme="minorHAnsi"/>
                <w:sz w:val="24"/>
                <w:szCs w:val="24"/>
                <w:lang w:val="en-GB"/>
              </w:rPr>
              <w:t>refer</w:t>
            </w:r>
            <w:r w:rsidRPr="00781D99">
              <w:rPr>
                <w:rFonts w:asciiTheme="minorHAnsi" w:hAnsiTheme="minorHAnsi"/>
                <w:sz w:val="24"/>
                <w:szCs w:val="24"/>
                <w:lang w:val="en-GB"/>
              </w:rPr>
              <w:t xml:space="preserve"> to </w:t>
            </w:r>
            <w:r w:rsidR="008D28CE" w:rsidRPr="00781D99">
              <w:rPr>
                <w:rFonts w:asciiTheme="minorHAnsi" w:hAnsiTheme="minorHAnsi"/>
                <w:sz w:val="24"/>
                <w:szCs w:val="24"/>
                <w:lang w:val="en-GB"/>
              </w:rPr>
              <w:t xml:space="preserve">(i) </w:t>
            </w:r>
            <w:r w:rsidR="00B80C5D" w:rsidRPr="00781D99">
              <w:rPr>
                <w:rFonts w:asciiTheme="minorHAnsi" w:hAnsiTheme="minorHAnsi"/>
                <w:sz w:val="24"/>
                <w:szCs w:val="24"/>
                <w:lang w:val="en-GB"/>
              </w:rPr>
              <w:t xml:space="preserve">the </w:t>
            </w:r>
            <w:r w:rsidR="008D28CE" w:rsidRPr="00781D99">
              <w:rPr>
                <w:rFonts w:asciiTheme="minorHAnsi" w:hAnsiTheme="minorHAnsi"/>
                <w:sz w:val="24"/>
                <w:szCs w:val="24"/>
                <w:lang w:val="en-GB"/>
              </w:rPr>
              <w:t>share purchase</w:t>
            </w:r>
            <w:r w:rsidR="00ED2BB8" w:rsidRPr="00781D99">
              <w:rPr>
                <w:rFonts w:asciiTheme="minorHAnsi" w:hAnsiTheme="minorHAnsi"/>
                <w:sz w:val="24"/>
                <w:szCs w:val="24"/>
                <w:lang w:val="en-GB"/>
              </w:rPr>
              <w:t xml:space="preserve"> and sale contract concluded by the Municipality and the predecessors of the Investors on 11 April 1997; (ii)  </w:t>
            </w:r>
            <w:r w:rsidRPr="00781D99">
              <w:rPr>
                <w:rFonts w:asciiTheme="minorHAnsi" w:hAnsiTheme="minorHAnsi"/>
                <w:sz w:val="24"/>
                <w:szCs w:val="24"/>
                <w:lang w:val="en-GB"/>
              </w:rPr>
              <w:t xml:space="preserve">the </w:t>
            </w:r>
            <w:r w:rsidR="008D28CE" w:rsidRPr="00781D99">
              <w:rPr>
                <w:rFonts w:asciiTheme="minorHAnsi" w:hAnsiTheme="minorHAnsi"/>
                <w:sz w:val="24"/>
                <w:szCs w:val="24"/>
                <w:lang w:val="en-GB"/>
              </w:rPr>
              <w:t>Shareholders</w:t>
            </w:r>
            <w:r w:rsidR="00C536E4" w:rsidRPr="00781D99">
              <w:rPr>
                <w:rFonts w:asciiTheme="minorHAnsi" w:hAnsiTheme="minorHAnsi"/>
                <w:sz w:val="24"/>
                <w:szCs w:val="24"/>
                <w:lang w:val="en-GB"/>
              </w:rPr>
              <w:t xml:space="preserve"> and Management Agreement, </w:t>
            </w:r>
            <w:r w:rsidR="00ED2BB8" w:rsidRPr="00781D99">
              <w:rPr>
                <w:rFonts w:asciiTheme="minorHAnsi" w:hAnsiTheme="minorHAnsi"/>
                <w:sz w:val="24"/>
                <w:szCs w:val="24"/>
                <w:lang w:val="en-GB"/>
              </w:rPr>
              <w:t>concluded by the same parties on the same date,</w:t>
            </w:r>
            <w:r w:rsidR="00C536E4" w:rsidRPr="00781D99">
              <w:rPr>
                <w:rFonts w:asciiTheme="minorHAnsi" w:hAnsiTheme="minorHAnsi"/>
                <w:sz w:val="24"/>
                <w:szCs w:val="24"/>
                <w:lang w:val="en-GB"/>
              </w:rPr>
              <w:t xml:space="preserve"> with regard to the Company’s management and further particular matters related to the Company</w:t>
            </w:r>
            <w:r w:rsidR="00066E07" w:rsidRPr="00781D99">
              <w:rPr>
                <w:rFonts w:asciiTheme="minorHAnsi" w:hAnsiTheme="minorHAnsi"/>
                <w:sz w:val="24"/>
                <w:szCs w:val="24"/>
                <w:lang w:val="en-GB"/>
              </w:rPr>
              <w:t xml:space="preserve"> (hereinafter altogether the “</w:t>
            </w:r>
            <w:r w:rsidR="00113D9E" w:rsidRPr="00781D99">
              <w:rPr>
                <w:rFonts w:asciiTheme="minorHAnsi" w:hAnsiTheme="minorHAnsi"/>
                <w:b/>
                <w:sz w:val="24"/>
                <w:szCs w:val="24"/>
                <w:lang w:val="en-GB"/>
              </w:rPr>
              <w:t>SZIMSZ</w:t>
            </w:r>
            <w:r w:rsidR="00066E07" w:rsidRPr="00781D99">
              <w:rPr>
                <w:rFonts w:asciiTheme="minorHAnsi" w:hAnsiTheme="minorHAnsi"/>
                <w:b/>
                <w:sz w:val="24"/>
                <w:szCs w:val="24"/>
                <w:lang w:val="en-GB"/>
              </w:rPr>
              <w:t xml:space="preserve"> Agreement</w:t>
            </w:r>
            <w:r w:rsidR="00066E07" w:rsidRPr="00781D99">
              <w:rPr>
                <w:rFonts w:asciiTheme="minorHAnsi" w:hAnsiTheme="minorHAnsi"/>
                <w:sz w:val="24"/>
                <w:szCs w:val="24"/>
                <w:lang w:val="en-GB"/>
              </w:rPr>
              <w:t>”)</w:t>
            </w:r>
            <w:r w:rsidR="00C536E4" w:rsidRPr="00781D99">
              <w:rPr>
                <w:rFonts w:asciiTheme="minorHAnsi" w:hAnsiTheme="minorHAnsi"/>
                <w:sz w:val="24"/>
                <w:szCs w:val="24"/>
                <w:lang w:val="en-GB"/>
              </w:rPr>
              <w:t>, (ii</w:t>
            </w:r>
            <w:r w:rsidR="00ED2BB8" w:rsidRPr="00781D99">
              <w:rPr>
                <w:rFonts w:asciiTheme="minorHAnsi" w:hAnsiTheme="minorHAnsi"/>
                <w:sz w:val="24"/>
                <w:szCs w:val="24"/>
                <w:lang w:val="en-GB"/>
              </w:rPr>
              <w:t>i</w:t>
            </w:r>
            <w:r w:rsidR="00C536E4" w:rsidRPr="00781D99">
              <w:rPr>
                <w:rFonts w:asciiTheme="minorHAnsi" w:hAnsiTheme="minorHAnsi"/>
                <w:sz w:val="24"/>
                <w:szCs w:val="24"/>
                <w:lang w:val="en-GB"/>
              </w:rPr>
              <w:t>)</w:t>
            </w:r>
            <w:r w:rsidR="00ED2BB8" w:rsidRPr="00781D99">
              <w:rPr>
                <w:rFonts w:asciiTheme="minorHAnsi" w:hAnsiTheme="minorHAnsi"/>
                <w:sz w:val="24"/>
                <w:szCs w:val="24"/>
                <w:lang w:val="en-GB"/>
              </w:rPr>
              <w:t xml:space="preserve"> the amendments to the </w:t>
            </w:r>
            <w:r w:rsidR="00113D9E" w:rsidRPr="00781D99">
              <w:rPr>
                <w:rFonts w:asciiTheme="minorHAnsi" w:hAnsiTheme="minorHAnsi"/>
                <w:sz w:val="24"/>
                <w:szCs w:val="24"/>
                <w:lang w:val="en-GB"/>
              </w:rPr>
              <w:t>SZIMSZ</w:t>
            </w:r>
            <w:r w:rsidR="00ED2BB8" w:rsidRPr="00781D99">
              <w:rPr>
                <w:rFonts w:asciiTheme="minorHAnsi" w:hAnsiTheme="minorHAnsi"/>
                <w:sz w:val="24"/>
                <w:szCs w:val="24"/>
                <w:lang w:val="en-GB"/>
              </w:rPr>
              <w:t xml:space="preserve"> Agreement, and (iv) the further agreements relating to the foregoing</w:t>
            </w:r>
            <w:r w:rsidR="00785E5B" w:rsidRPr="00781D99">
              <w:rPr>
                <w:rFonts w:asciiTheme="minorHAnsi" w:hAnsiTheme="minorHAnsi"/>
                <w:sz w:val="24"/>
                <w:szCs w:val="24"/>
                <w:lang w:val="en-GB"/>
              </w:rPr>
              <w:t xml:space="preserve"> (the documents described in section 1 shall altogether be referred to as the “</w:t>
            </w:r>
            <w:r w:rsidR="00785E5B" w:rsidRPr="00781D99">
              <w:rPr>
                <w:rFonts w:asciiTheme="minorHAnsi" w:hAnsiTheme="minorHAnsi"/>
                <w:b/>
                <w:sz w:val="24"/>
                <w:szCs w:val="24"/>
                <w:lang w:val="en-GB"/>
              </w:rPr>
              <w:t>Project Documents</w:t>
            </w:r>
            <w:r w:rsidR="00785E5B" w:rsidRPr="00781D99">
              <w:rPr>
                <w:rFonts w:asciiTheme="minorHAnsi" w:hAnsiTheme="minorHAnsi"/>
                <w:sz w:val="24"/>
                <w:szCs w:val="24"/>
                <w:lang w:val="en-GB"/>
              </w:rPr>
              <w:t>”)</w:t>
            </w:r>
            <w:r w:rsidR="00994247" w:rsidRPr="00781D99">
              <w:rPr>
                <w:rFonts w:asciiTheme="minorHAnsi" w:hAnsiTheme="minorHAnsi"/>
                <w:sz w:val="24"/>
                <w:szCs w:val="24"/>
                <w:lang w:val="en-GB"/>
              </w:rPr>
              <w:t xml:space="preserve"> </w:t>
            </w:r>
            <w:r w:rsidR="00332E0C" w:rsidRPr="00781D99">
              <w:rPr>
                <w:rFonts w:asciiTheme="minorHAnsi" w:hAnsiTheme="minorHAnsi"/>
                <w:sz w:val="24"/>
                <w:szCs w:val="24"/>
                <w:lang w:val="en-GB"/>
              </w:rPr>
              <w:t>referred to</w:t>
            </w:r>
            <w:r w:rsidR="00ED2BB8" w:rsidRPr="00781D99">
              <w:rPr>
                <w:rFonts w:asciiTheme="minorHAnsi" w:hAnsiTheme="minorHAnsi"/>
                <w:sz w:val="24"/>
                <w:szCs w:val="24"/>
                <w:lang w:val="en-GB"/>
              </w:rPr>
              <w:t>.</w:t>
            </w:r>
          </w:p>
        </w:tc>
      </w:tr>
      <w:tr w:rsidR="003538C9" w:rsidRPr="00781D99" w:rsidTr="00C058E9">
        <w:tc>
          <w:tcPr>
            <w:tcW w:w="4748" w:type="dxa"/>
          </w:tcPr>
          <w:p w:rsidR="003538C9" w:rsidRPr="00781D99" w:rsidRDefault="00431AAD" w:rsidP="009C66DE">
            <w:pPr>
              <w:pStyle w:val="ListParagraph1"/>
              <w:spacing w:before="120" w:after="120" w:line="240" w:lineRule="auto"/>
              <w:ind w:left="360" w:right="72"/>
              <w:contextualSpacing w:val="0"/>
              <w:jc w:val="both"/>
              <w:rPr>
                <w:rFonts w:asciiTheme="minorHAnsi" w:hAnsiTheme="minorHAnsi"/>
                <w:sz w:val="24"/>
                <w:szCs w:val="24"/>
              </w:rPr>
            </w:pPr>
            <w:r>
              <w:rPr>
                <w:rFonts w:asciiTheme="minorHAnsi" w:hAnsiTheme="minorHAnsi"/>
                <w:sz w:val="24"/>
                <w:szCs w:val="24"/>
              </w:rPr>
              <w:t>U</w:t>
            </w:r>
            <w:r w:rsidR="003538C9">
              <w:rPr>
                <w:rFonts w:asciiTheme="minorHAnsi" w:hAnsiTheme="minorHAnsi"/>
                <w:sz w:val="24"/>
                <w:szCs w:val="24"/>
              </w:rPr>
              <w:t xml:space="preserve">gyancsak hivatkoznak a közöttük az elmúlt fél évben kialakult </w:t>
            </w:r>
            <w:r w:rsidR="009C66DE">
              <w:rPr>
                <w:rFonts w:asciiTheme="minorHAnsi" w:hAnsiTheme="minorHAnsi"/>
                <w:sz w:val="24"/>
                <w:szCs w:val="24"/>
              </w:rPr>
              <w:t>vita</w:t>
            </w:r>
            <w:r w:rsidR="003538C9">
              <w:rPr>
                <w:rFonts w:asciiTheme="minorHAnsi" w:hAnsiTheme="minorHAnsi"/>
                <w:sz w:val="24"/>
                <w:szCs w:val="24"/>
              </w:rPr>
              <w:t>, melyet kölcsönös engedmények megtételével, egyezséggel szándékoznak lezárni.</w:t>
            </w:r>
          </w:p>
        </w:tc>
        <w:tc>
          <w:tcPr>
            <w:tcW w:w="4606" w:type="dxa"/>
          </w:tcPr>
          <w:p w:rsidR="003538C9" w:rsidRPr="00781D99" w:rsidRDefault="003538C9" w:rsidP="009C66DE">
            <w:pPr>
              <w:pStyle w:val="ListParagraph1"/>
              <w:spacing w:before="120" w:after="120" w:line="240" w:lineRule="auto"/>
              <w:ind w:left="360"/>
              <w:contextualSpacing w:val="0"/>
              <w:jc w:val="both"/>
              <w:rPr>
                <w:rFonts w:asciiTheme="minorHAnsi" w:hAnsiTheme="minorHAnsi"/>
                <w:sz w:val="24"/>
                <w:szCs w:val="24"/>
                <w:lang w:val="en-GB"/>
              </w:rPr>
            </w:pPr>
            <w:r w:rsidRPr="00781D99">
              <w:rPr>
                <w:rFonts w:asciiTheme="minorHAnsi" w:hAnsiTheme="minorHAnsi"/>
                <w:sz w:val="24"/>
                <w:szCs w:val="24"/>
                <w:lang w:val="en-GB"/>
              </w:rPr>
              <w:t xml:space="preserve">The Parties, </w:t>
            </w:r>
            <w:r>
              <w:rPr>
                <w:rFonts w:asciiTheme="minorHAnsi" w:hAnsiTheme="minorHAnsi"/>
                <w:sz w:val="24"/>
                <w:szCs w:val="24"/>
                <w:lang w:val="en-GB"/>
              </w:rPr>
              <w:t xml:space="preserve">also </w:t>
            </w:r>
            <w:r w:rsidRPr="00781D99">
              <w:rPr>
                <w:rFonts w:asciiTheme="minorHAnsi" w:hAnsiTheme="minorHAnsi"/>
                <w:sz w:val="24"/>
                <w:szCs w:val="24"/>
                <w:lang w:val="en-GB"/>
              </w:rPr>
              <w:t xml:space="preserve">refer </w:t>
            </w:r>
            <w:r>
              <w:rPr>
                <w:rFonts w:asciiTheme="minorHAnsi" w:hAnsiTheme="minorHAnsi"/>
                <w:sz w:val="24"/>
                <w:szCs w:val="24"/>
                <w:lang w:val="en-GB"/>
              </w:rPr>
              <w:t>to the dispute occurred during last half year which they wish close with compromise by an out of court settlement.</w:t>
            </w:r>
          </w:p>
        </w:tc>
      </w:tr>
      <w:tr w:rsidR="00942A39" w:rsidRPr="00781D99" w:rsidTr="00C058E9">
        <w:tc>
          <w:tcPr>
            <w:tcW w:w="4748" w:type="dxa"/>
          </w:tcPr>
          <w:p w:rsidR="00294DED" w:rsidRPr="00781D99" w:rsidRDefault="00942A39" w:rsidP="00C058E9">
            <w:pPr>
              <w:pStyle w:val="ListParagraph1"/>
              <w:numPr>
                <w:ilvl w:val="0"/>
                <w:numId w:val="1"/>
              </w:numPr>
              <w:spacing w:before="120" w:after="120" w:line="240" w:lineRule="auto"/>
              <w:ind w:left="284" w:right="72" w:hanging="284"/>
              <w:contextualSpacing w:val="0"/>
              <w:jc w:val="both"/>
              <w:rPr>
                <w:rFonts w:asciiTheme="minorHAnsi" w:hAnsiTheme="minorHAnsi"/>
                <w:sz w:val="24"/>
                <w:szCs w:val="24"/>
              </w:rPr>
            </w:pPr>
            <w:r w:rsidRPr="00781D99">
              <w:rPr>
                <w:rFonts w:asciiTheme="minorHAnsi" w:hAnsiTheme="minorHAnsi"/>
                <w:sz w:val="24"/>
                <w:szCs w:val="24"/>
              </w:rPr>
              <w:lastRenderedPageBreak/>
              <w:t>A Befektetők tulajdonában a következő részvények állnak:</w:t>
            </w:r>
          </w:p>
        </w:tc>
        <w:tc>
          <w:tcPr>
            <w:tcW w:w="4606" w:type="dxa"/>
          </w:tcPr>
          <w:p w:rsidR="004E4240" w:rsidRPr="00781D99" w:rsidRDefault="00ED2BB8" w:rsidP="00925ACD">
            <w:pPr>
              <w:pStyle w:val="ListParagraph1"/>
              <w:numPr>
                <w:ilvl w:val="0"/>
                <w:numId w:val="4"/>
              </w:numPr>
              <w:spacing w:before="120" w:after="120" w:line="240" w:lineRule="auto"/>
              <w:ind w:left="356" w:hanging="284"/>
              <w:contextualSpacing w:val="0"/>
              <w:jc w:val="both"/>
              <w:rPr>
                <w:rFonts w:asciiTheme="minorHAnsi" w:hAnsiTheme="minorHAnsi"/>
                <w:sz w:val="24"/>
                <w:szCs w:val="24"/>
                <w:lang w:val="en-GB"/>
              </w:rPr>
            </w:pPr>
            <w:r w:rsidRPr="00781D99">
              <w:rPr>
                <w:rFonts w:asciiTheme="minorHAnsi" w:hAnsiTheme="minorHAnsi"/>
                <w:sz w:val="24"/>
                <w:szCs w:val="24"/>
                <w:lang w:val="en-GB"/>
              </w:rPr>
              <w:t>The Investors own the following shares:</w:t>
            </w:r>
          </w:p>
        </w:tc>
      </w:tr>
      <w:tr w:rsidR="00925ACD" w:rsidRPr="00781D99" w:rsidTr="00C058E9">
        <w:tc>
          <w:tcPr>
            <w:tcW w:w="4748" w:type="dxa"/>
          </w:tcPr>
          <w:p w:rsidR="00925ACD" w:rsidRPr="00781D99" w:rsidRDefault="00925ACD" w:rsidP="00C058E9">
            <w:pPr>
              <w:pStyle w:val="ListParagraph1"/>
              <w:numPr>
                <w:ilvl w:val="1"/>
                <w:numId w:val="1"/>
              </w:numPr>
              <w:spacing w:before="120" w:after="120" w:line="240" w:lineRule="auto"/>
              <w:ind w:left="709" w:right="72" w:hanging="338"/>
              <w:contextualSpacing w:val="0"/>
              <w:jc w:val="both"/>
              <w:rPr>
                <w:rFonts w:asciiTheme="minorHAnsi" w:hAnsiTheme="minorHAnsi"/>
                <w:sz w:val="24"/>
                <w:szCs w:val="24"/>
              </w:rPr>
            </w:pPr>
            <w:r w:rsidRPr="00781D99">
              <w:rPr>
                <w:rFonts w:asciiTheme="minorHAnsi" w:hAnsiTheme="minorHAnsi"/>
                <w:sz w:val="24"/>
                <w:szCs w:val="24"/>
              </w:rPr>
              <w:t xml:space="preserve">Suez: 5.100 db, egyenként </w:t>
            </w:r>
            <w:smartTag w:uri="urn:schemas-microsoft-com:office:smarttags" w:element="metricconverter">
              <w:smartTagPr>
                <w:attr w:name="ProductID" w:val="100.000 Ft"/>
              </w:smartTagPr>
              <w:r w:rsidRPr="00781D99">
                <w:rPr>
                  <w:rFonts w:asciiTheme="minorHAnsi" w:hAnsiTheme="minorHAnsi"/>
                  <w:sz w:val="24"/>
                  <w:szCs w:val="24"/>
                </w:rPr>
                <w:t>100.000 Ft</w:t>
              </w:r>
            </w:smartTag>
            <w:r w:rsidRPr="00781D99">
              <w:rPr>
                <w:rFonts w:asciiTheme="minorHAnsi" w:hAnsiTheme="minorHAnsi"/>
                <w:sz w:val="24"/>
                <w:szCs w:val="24"/>
              </w:rPr>
              <w:t>. névértékű részvény</w:t>
            </w:r>
          </w:p>
        </w:tc>
        <w:tc>
          <w:tcPr>
            <w:tcW w:w="4606" w:type="dxa"/>
          </w:tcPr>
          <w:p w:rsidR="00925ACD" w:rsidRPr="00781D99" w:rsidRDefault="00925ACD" w:rsidP="00925ACD">
            <w:pPr>
              <w:pStyle w:val="ListParagraph1"/>
              <w:numPr>
                <w:ilvl w:val="0"/>
                <w:numId w:val="12"/>
              </w:numPr>
              <w:spacing w:before="120" w:after="120" w:line="240" w:lineRule="auto"/>
              <w:ind w:left="781" w:hanging="284"/>
              <w:contextualSpacing w:val="0"/>
              <w:jc w:val="both"/>
              <w:rPr>
                <w:rFonts w:asciiTheme="minorHAnsi" w:hAnsiTheme="minorHAnsi"/>
                <w:sz w:val="24"/>
                <w:szCs w:val="24"/>
              </w:rPr>
            </w:pPr>
            <w:r w:rsidRPr="00781D99">
              <w:rPr>
                <w:rFonts w:asciiTheme="minorHAnsi" w:hAnsiTheme="minorHAnsi"/>
                <w:sz w:val="24"/>
                <w:szCs w:val="24"/>
                <w:lang w:val="en-GB"/>
              </w:rPr>
              <w:t>Suez: 5,100 shares, with a nominal value of HUF 100,000 each;</w:t>
            </w:r>
          </w:p>
        </w:tc>
      </w:tr>
      <w:tr w:rsidR="00925ACD" w:rsidRPr="00781D99" w:rsidTr="00C058E9">
        <w:tc>
          <w:tcPr>
            <w:tcW w:w="4748" w:type="dxa"/>
          </w:tcPr>
          <w:p w:rsidR="00925ACD" w:rsidRPr="00781D99" w:rsidRDefault="00925ACD" w:rsidP="00C058E9">
            <w:pPr>
              <w:pStyle w:val="ListParagraph1"/>
              <w:numPr>
                <w:ilvl w:val="1"/>
                <w:numId w:val="1"/>
              </w:numPr>
              <w:spacing w:before="120" w:after="120" w:line="240" w:lineRule="auto"/>
              <w:ind w:left="709" w:right="72" w:hanging="338"/>
              <w:contextualSpacing w:val="0"/>
              <w:jc w:val="both"/>
              <w:rPr>
                <w:sz w:val="24"/>
                <w:szCs w:val="24"/>
              </w:rPr>
            </w:pPr>
            <w:r w:rsidRPr="00781D99">
              <w:rPr>
                <w:sz w:val="24"/>
                <w:szCs w:val="24"/>
              </w:rPr>
              <w:t xml:space="preserve">RWE: 4.900 db, egyenként </w:t>
            </w:r>
            <w:smartTag w:uri="urn:schemas-microsoft-com:office:smarttags" w:element="metricconverter">
              <w:smartTagPr>
                <w:attr w:name="ProductID" w:val="100.000 Ft"/>
              </w:smartTagPr>
              <w:r w:rsidRPr="00781D99">
                <w:rPr>
                  <w:sz w:val="24"/>
                  <w:szCs w:val="24"/>
                </w:rPr>
                <w:t>100.000 Ft</w:t>
              </w:r>
            </w:smartTag>
            <w:r w:rsidRPr="00781D99">
              <w:rPr>
                <w:sz w:val="24"/>
                <w:szCs w:val="24"/>
              </w:rPr>
              <w:t>. névértékű részvény,</w:t>
            </w:r>
          </w:p>
        </w:tc>
        <w:tc>
          <w:tcPr>
            <w:tcW w:w="4606" w:type="dxa"/>
          </w:tcPr>
          <w:p w:rsidR="00925ACD" w:rsidRPr="00781D99" w:rsidRDefault="00925ACD" w:rsidP="00925ACD">
            <w:pPr>
              <w:pStyle w:val="ListParagraph1"/>
              <w:numPr>
                <w:ilvl w:val="0"/>
                <w:numId w:val="12"/>
              </w:numPr>
              <w:spacing w:before="120" w:after="120" w:line="240" w:lineRule="auto"/>
              <w:ind w:left="781" w:hanging="284"/>
              <w:contextualSpacing w:val="0"/>
              <w:jc w:val="both"/>
              <w:rPr>
                <w:rFonts w:asciiTheme="minorHAnsi" w:hAnsiTheme="minorHAnsi"/>
                <w:sz w:val="24"/>
                <w:szCs w:val="24"/>
              </w:rPr>
            </w:pPr>
            <w:r w:rsidRPr="00781D99">
              <w:rPr>
                <w:rFonts w:asciiTheme="minorHAnsi" w:hAnsiTheme="minorHAnsi"/>
                <w:sz w:val="24"/>
                <w:szCs w:val="24"/>
                <w:lang w:val="en-GB"/>
              </w:rPr>
              <w:t>RWE: 4,900 shares, , with a nominal value of HUF 100,000 each;</w:t>
            </w:r>
          </w:p>
        </w:tc>
      </w:tr>
      <w:tr w:rsidR="00925ACD" w:rsidRPr="00781D99" w:rsidTr="00C058E9">
        <w:tc>
          <w:tcPr>
            <w:tcW w:w="4748" w:type="dxa"/>
          </w:tcPr>
          <w:p w:rsidR="00925ACD" w:rsidRPr="00781D99" w:rsidRDefault="00925ACD" w:rsidP="00C058E9">
            <w:pPr>
              <w:pStyle w:val="ListParagraph1"/>
              <w:numPr>
                <w:ilvl w:val="1"/>
                <w:numId w:val="1"/>
              </w:numPr>
              <w:spacing w:before="120" w:after="120" w:line="240" w:lineRule="auto"/>
              <w:ind w:left="709" w:right="72" w:hanging="338"/>
              <w:contextualSpacing w:val="0"/>
              <w:jc w:val="both"/>
              <w:rPr>
                <w:rFonts w:asciiTheme="minorHAnsi" w:hAnsiTheme="minorHAnsi"/>
                <w:sz w:val="24"/>
                <w:szCs w:val="24"/>
              </w:rPr>
            </w:pPr>
            <w:r w:rsidRPr="00781D99">
              <w:rPr>
                <w:rFonts w:asciiTheme="minorHAnsi" w:hAnsiTheme="minorHAnsi"/>
                <w:sz w:val="24"/>
                <w:szCs w:val="24"/>
              </w:rPr>
              <w:t xml:space="preserve">Hungáriavíz Kft.: (i) 138.580 db, egyenként </w:t>
            </w:r>
            <w:smartTag w:uri="urn:schemas-microsoft-com:office:smarttags" w:element="metricconverter">
              <w:smartTagPr>
                <w:attr w:name="ProductID" w:val="100.000 Ft"/>
              </w:smartTagPr>
              <w:r w:rsidRPr="00781D99">
                <w:rPr>
                  <w:rFonts w:asciiTheme="minorHAnsi" w:hAnsiTheme="minorHAnsi"/>
                  <w:sz w:val="24"/>
                  <w:szCs w:val="24"/>
                </w:rPr>
                <w:t>100.000 Ft</w:t>
              </w:r>
            </w:smartTag>
            <w:r w:rsidRPr="00781D99">
              <w:rPr>
                <w:rFonts w:asciiTheme="minorHAnsi" w:hAnsiTheme="minorHAnsi"/>
                <w:sz w:val="24"/>
                <w:szCs w:val="24"/>
              </w:rPr>
              <w:t xml:space="preserve">. névértékű részvény, és (ii) 18 db, egyenként </w:t>
            </w:r>
            <w:smartTag w:uri="urn:schemas-microsoft-com:office:smarttags" w:element="metricconverter">
              <w:smartTagPr>
                <w:attr w:name="ProductID" w:val="10.000 Ft"/>
              </w:smartTagPr>
              <w:r w:rsidRPr="00781D99">
                <w:rPr>
                  <w:rFonts w:asciiTheme="minorHAnsi" w:hAnsiTheme="minorHAnsi"/>
                  <w:sz w:val="24"/>
                  <w:szCs w:val="24"/>
                </w:rPr>
                <w:t>10.000 Ft</w:t>
              </w:r>
            </w:smartTag>
            <w:r w:rsidRPr="00781D99">
              <w:rPr>
                <w:rFonts w:asciiTheme="minorHAnsi" w:hAnsiTheme="minorHAnsi"/>
                <w:sz w:val="24"/>
                <w:szCs w:val="24"/>
              </w:rPr>
              <w:t xml:space="preserve"> </w:t>
            </w:r>
          </w:p>
        </w:tc>
        <w:tc>
          <w:tcPr>
            <w:tcW w:w="4606" w:type="dxa"/>
          </w:tcPr>
          <w:p w:rsidR="00925ACD" w:rsidRPr="00781D99" w:rsidRDefault="00925ACD" w:rsidP="00925ACD">
            <w:pPr>
              <w:pStyle w:val="ListParagraph1"/>
              <w:numPr>
                <w:ilvl w:val="0"/>
                <w:numId w:val="12"/>
              </w:numPr>
              <w:spacing w:before="120" w:after="120" w:line="240" w:lineRule="auto"/>
              <w:ind w:left="781" w:hanging="284"/>
              <w:contextualSpacing w:val="0"/>
              <w:jc w:val="both"/>
              <w:rPr>
                <w:rFonts w:asciiTheme="minorHAnsi" w:hAnsiTheme="minorHAnsi"/>
                <w:sz w:val="24"/>
                <w:szCs w:val="24"/>
              </w:rPr>
            </w:pPr>
            <w:r w:rsidRPr="00781D99">
              <w:rPr>
                <w:rFonts w:asciiTheme="minorHAnsi" w:hAnsiTheme="minorHAnsi"/>
                <w:sz w:val="24"/>
                <w:szCs w:val="24"/>
                <w:lang w:val="en-GB"/>
              </w:rPr>
              <w:t>Hungáriavíz Kft.: (i) 138,580 shares, with a nominal value of HUF 100,000 each, and (ii) 18 shares, with a nominal value of HUF 10,000 each</w:t>
            </w:r>
          </w:p>
        </w:tc>
      </w:tr>
      <w:tr w:rsidR="00925ACD" w:rsidRPr="00781D99" w:rsidTr="00C058E9">
        <w:tc>
          <w:tcPr>
            <w:tcW w:w="4748" w:type="dxa"/>
          </w:tcPr>
          <w:p w:rsidR="00925ACD" w:rsidRPr="00781D99" w:rsidRDefault="00925ACD" w:rsidP="00C058E9">
            <w:pPr>
              <w:spacing w:before="120" w:after="120" w:line="240" w:lineRule="auto"/>
              <w:ind w:right="72"/>
              <w:jc w:val="both"/>
              <w:rPr>
                <w:rFonts w:asciiTheme="minorHAnsi" w:hAnsiTheme="minorHAnsi"/>
                <w:sz w:val="24"/>
                <w:szCs w:val="24"/>
              </w:rPr>
            </w:pPr>
            <w:r w:rsidRPr="00781D99">
              <w:rPr>
                <w:rFonts w:asciiTheme="minorHAnsi" w:hAnsiTheme="minorHAnsi"/>
                <w:sz w:val="24"/>
                <w:szCs w:val="24"/>
              </w:rPr>
              <w:t>(a továbbiakban: „</w:t>
            </w:r>
            <w:r w:rsidRPr="00781D99">
              <w:rPr>
                <w:rFonts w:asciiTheme="minorHAnsi" w:hAnsiTheme="minorHAnsi"/>
                <w:b/>
                <w:sz w:val="24"/>
                <w:szCs w:val="24"/>
              </w:rPr>
              <w:t>Befektetői Részvények</w:t>
            </w:r>
            <w:r w:rsidRPr="00781D99">
              <w:rPr>
                <w:rFonts w:asciiTheme="minorHAnsi" w:hAnsiTheme="minorHAnsi"/>
                <w:sz w:val="24"/>
                <w:szCs w:val="24"/>
              </w:rPr>
              <w:t>”)</w:t>
            </w:r>
            <w:r w:rsidR="00735CD9" w:rsidRPr="00781D99">
              <w:rPr>
                <w:rFonts w:asciiTheme="minorHAnsi" w:hAnsiTheme="minorHAnsi"/>
                <w:sz w:val="24"/>
                <w:szCs w:val="24"/>
              </w:rPr>
              <w:t>.</w:t>
            </w:r>
          </w:p>
        </w:tc>
        <w:tc>
          <w:tcPr>
            <w:tcW w:w="4606" w:type="dxa"/>
          </w:tcPr>
          <w:p w:rsidR="00925ACD" w:rsidRPr="00781D99" w:rsidRDefault="00925ACD" w:rsidP="00925ACD">
            <w:pPr>
              <w:spacing w:before="120" w:after="120" w:line="240" w:lineRule="auto"/>
              <w:jc w:val="both"/>
              <w:rPr>
                <w:rFonts w:asciiTheme="minorHAnsi" w:hAnsiTheme="minorHAnsi"/>
                <w:sz w:val="24"/>
                <w:szCs w:val="24"/>
                <w:lang w:val="en-GB"/>
              </w:rPr>
            </w:pPr>
            <w:r w:rsidRPr="00781D99">
              <w:rPr>
                <w:rFonts w:asciiTheme="minorHAnsi" w:hAnsiTheme="minorHAnsi"/>
                <w:sz w:val="24"/>
                <w:szCs w:val="24"/>
                <w:lang w:val="en-GB"/>
              </w:rPr>
              <w:t>(hereinafter: the “</w:t>
            </w:r>
            <w:r w:rsidRPr="00781D99">
              <w:rPr>
                <w:rFonts w:asciiTheme="minorHAnsi" w:hAnsiTheme="minorHAnsi"/>
                <w:b/>
                <w:sz w:val="24"/>
                <w:szCs w:val="24"/>
                <w:lang w:val="en-GB"/>
              </w:rPr>
              <w:t>Investor Shares</w:t>
            </w:r>
            <w:r w:rsidRPr="00781D99">
              <w:rPr>
                <w:rFonts w:asciiTheme="minorHAnsi" w:hAnsiTheme="minorHAnsi"/>
                <w:sz w:val="24"/>
                <w:szCs w:val="24"/>
                <w:lang w:val="en-GB"/>
              </w:rPr>
              <w:t>”)</w:t>
            </w:r>
            <w:r w:rsidR="00735CD9" w:rsidRPr="00781D99">
              <w:rPr>
                <w:rFonts w:asciiTheme="minorHAnsi" w:hAnsiTheme="minorHAnsi"/>
                <w:sz w:val="24"/>
                <w:szCs w:val="24"/>
                <w:lang w:val="en-GB"/>
              </w:rPr>
              <w:t>.</w:t>
            </w:r>
          </w:p>
        </w:tc>
      </w:tr>
      <w:tr w:rsidR="00294DED" w:rsidRPr="00781D99" w:rsidTr="00C058E9">
        <w:tc>
          <w:tcPr>
            <w:tcW w:w="4748" w:type="dxa"/>
          </w:tcPr>
          <w:p w:rsidR="00332E0C" w:rsidRPr="00781D99" w:rsidRDefault="00332E0C" w:rsidP="00C058E9">
            <w:pPr>
              <w:pStyle w:val="ListParagraph1"/>
              <w:numPr>
                <w:ilvl w:val="0"/>
                <w:numId w:val="1"/>
              </w:numPr>
              <w:spacing w:before="120" w:after="120" w:line="240" w:lineRule="auto"/>
              <w:ind w:left="284" w:right="72" w:hanging="284"/>
              <w:contextualSpacing w:val="0"/>
              <w:jc w:val="both"/>
              <w:rPr>
                <w:rFonts w:asciiTheme="minorHAnsi" w:hAnsiTheme="minorHAnsi"/>
                <w:sz w:val="24"/>
                <w:szCs w:val="24"/>
              </w:rPr>
            </w:pPr>
            <w:r w:rsidRPr="00781D99">
              <w:rPr>
                <w:rFonts w:asciiTheme="minorHAnsi" w:hAnsiTheme="minorHAnsi"/>
                <w:sz w:val="24"/>
                <w:szCs w:val="24"/>
              </w:rPr>
              <w:t>A Felek, abból a célból, hogy a Projekt Dokumentumokból fakadó minden jogi és üzleti viszonyt megszüntessenek</w:t>
            </w:r>
            <w:r w:rsidR="009F1CF0" w:rsidRPr="00781D99">
              <w:rPr>
                <w:rFonts w:asciiTheme="minorHAnsi" w:hAnsiTheme="minorHAnsi"/>
                <w:sz w:val="24"/>
                <w:szCs w:val="24"/>
              </w:rPr>
              <w:t>,</w:t>
            </w:r>
            <w:r w:rsidRPr="00781D99">
              <w:rPr>
                <w:rFonts w:asciiTheme="minorHAnsi" w:hAnsiTheme="minorHAnsi"/>
                <w:sz w:val="24"/>
                <w:szCs w:val="24"/>
              </w:rPr>
              <w:t xml:space="preserve"> az alábbi dokumentumokat fogják, többek között, aláírni:</w:t>
            </w:r>
          </w:p>
          <w:p w:rsidR="00332E0C" w:rsidRPr="00781D99" w:rsidRDefault="00332E0C" w:rsidP="00C058E9">
            <w:pPr>
              <w:pStyle w:val="ListParagraph1"/>
              <w:spacing w:before="120" w:after="120" w:line="240" w:lineRule="auto"/>
              <w:ind w:left="284" w:right="72"/>
              <w:contextualSpacing w:val="0"/>
              <w:jc w:val="both"/>
              <w:rPr>
                <w:rFonts w:asciiTheme="minorHAnsi" w:hAnsiTheme="minorHAnsi"/>
                <w:sz w:val="24"/>
                <w:szCs w:val="24"/>
              </w:rPr>
            </w:pPr>
          </w:p>
        </w:tc>
        <w:tc>
          <w:tcPr>
            <w:tcW w:w="4606" w:type="dxa"/>
          </w:tcPr>
          <w:p w:rsidR="00294DED" w:rsidRPr="00781D99" w:rsidRDefault="00785E5B" w:rsidP="00925ACD">
            <w:pPr>
              <w:pStyle w:val="ListParagraph1"/>
              <w:numPr>
                <w:ilvl w:val="0"/>
                <w:numId w:val="4"/>
              </w:numPr>
              <w:spacing w:before="120" w:after="120" w:line="240" w:lineRule="auto"/>
              <w:ind w:left="356" w:hanging="284"/>
              <w:contextualSpacing w:val="0"/>
              <w:jc w:val="both"/>
              <w:rPr>
                <w:rFonts w:asciiTheme="minorHAnsi" w:hAnsiTheme="minorHAnsi"/>
                <w:sz w:val="24"/>
                <w:szCs w:val="24"/>
                <w:lang w:val="en-GB"/>
              </w:rPr>
            </w:pPr>
            <w:r w:rsidRPr="00781D99">
              <w:rPr>
                <w:rFonts w:asciiTheme="minorHAnsi" w:hAnsiTheme="minorHAnsi"/>
                <w:sz w:val="24"/>
                <w:szCs w:val="24"/>
                <w:lang w:val="en-GB"/>
              </w:rPr>
              <w:t>In order to terminate all legal and economic relations arising from the Project Documents, the Parties will conclude, inter alia, the following documents:</w:t>
            </w:r>
          </w:p>
        </w:tc>
      </w:tr>
      <w:tr w:rsidR="00925ACD" w:rsidRPr="00781D99" w:rsidTr="00C058E9">
        <w:tc>
          <w:tcPr>
            <w:tcW w:w="4748" w:type="dxa"/>
          </w:tcPr>
          <w:p w:rsidR="00925ACD" w:rsidRPr="00781D99" w:rsidRDefault="00925ACD" w:rsidP="00C058E9">
            <w:pPr>
              <w:pStyle w:val="ListParagraph1"/>
              <w:numPr>
                <w:ilvl w:val="1"/>
                <w:numId w:val="1"/>
              </w:numPr>
              <w:spacing w:before="120" w:after="120" w:line="240" w:lineRule="auto"/>
              <w:ind w:left="709" w:right="72" w:hanging="338"/>
              <w:contextualSpacing w:val="0"/>
              <w:jc w:val="both"/>
              <w:rPr>
                <w:rFonts w:asciiTheme="minorHAnsi" w:hAnsiTheme="minorHAnsi"/>
                <w:sz w:val="24"/>
                <w:szCs w:val="24"/>
              </w:rPr>
            </w:pPr>
            <w:r w:rsidRPr="00781D99">
              <w:rPr>
                <w:rFonts w:asciiTheme="minorHAnsi" w:hAnsiTheme="minorHAnsi"/>
                <w:sz w:val="24"/>
                <w:szCs w:val="24"/>
              </w:rPr>
              <w:t xml:space="preserve">Megszüntetési </w:t>
            </w:r>
            <w:r w:rsidR="006B5094" w:rsidRPr="00781D99">
              <w:rPr>
                <w:rFonts w:asciiTheme="minorHAnsi" w:hAnsiTheme="minorHAnsi"/>
                <w:sz w:val="24"/>
                <w:szCs w:val="24"/>
              </w:rPr>
              <w:t xml:space="preserve">és Elszámolási </w:t>
            </w:r>
            <w:r w:rsidRPr="00781D99">
              <w:rPr>
                <w:rFonts w:asciiTheme="minorHAnsi" w:hAnsiTheme="minorHAnsi"/>
                <w:sz w:val="24"/>
                <w:szCs w:val="24"/>
              </w:rPr>
              <w:t xml:space="preserve">Megállapodás (a Felek teljes és végleges megállapodása a Befektetők FVM-ben történő befektetésének megszüntetése vonatkozásában); és </w:t>
            </w:r>
          </w:p>
        </w:tc>
        <w:tc>
          <w:tcPr>
            <w:tcW w:w="4606" w:type="dxa"/>
          </w:tcPr>
          <w:p w:rsidR="00925ACD" w:rsidRPr="00781D99" w:rsidRDefault="006B5094" w:rsidP="00925ACD">
            <w:pPr>
              <w:pStyle w:val="ListParagraph1"/>
              <w:numPr>
                <w:ilvl w:val="0"/>
                <w:numId w:val="14"/>
              </w:numPr>
              <w:spacing w:before="120" w:after="120" w:line="240" w:lineRule="auto"/>
              <w:ind w:left="781" w:hanging="425"/>
              <w:contextualSpacing w:val="0"/>
              <w:jc w:val="both"/>
              <w:rPr>
                <w:rFonts w:asciiTheme="minorHAnsi" w:hAnsiTheme="minorHAnsi"/>
                <w:sz w:val="24"/>
                <w:szCs w:val="24"/>
              </w:rPr>
            </w:pPr>
            <w:r w:rsidRPr="00781D99">
              <w:rPr>
                <w:rFonts w:asciiTheme="minorHAnsi" w:hAnsiTheme="minorHAnsi"/>
                <w:sz w:val="24"/>
                <w:szCs w:val="24"/>
                <w:lang w:val="en-GB"/>
              </w:rPr>
              <w:t xml:space="preserve">Termination and </w:t>
            </w:r>
            <w:r w:rsidR="00925ACD" w:rsidRPr="00781D99">
              <w:rPr>
                <w:rFonts w:asciiTheme="minorHAnsi" w:hAnsiTheme="minorHAnsi"/>
                <w:sz w:val="24"/>
                <w:szCs w:val="24"/>
                <w:lang w:val="en-GB"/>
              </w:rPr>
              <w:t>Settlement Agreement (the full and final settlement of the Parties regarding the termination of investment of the Investors in FVM);</w:t>
            </w:r>
          </w:p>
        </w:tc>
      </w:tr>
      <w:tr w:rsidR="00925ACD" w:rsidRPr="00781D99" w:rsidTr="00C058E9">
        <w:tc>
          <w:tcPr>
            <w:tcW w:w="4748" w:type="dxa"/>
          </w:tcPr>
          <w:p w:rsidR="00925ACD" w:rsidRPr="00781D99" w:rsidRDefault="00925ACD" w:rsidP="00C058E9">
            <w:pPr>
              <w:pStyle w:val="ListParagraph1"/>
              <w:numPr>
                <w:ilvl w:val="1"/>
                <w:numId w:val="1"/>
              </w:numPr>
              <w:spacing w:before="120" w:after="120" w:line="240" w:lineRule="auto"/>
              <w:ind w:left="709" w:right="72" w:hanging="338"/>
              <w:contextualSpacing w:val="0"/>
              <w:jc w:val="both"/>
              <w:rPr>
                <w:rFonts w:asciiTheme="minorHAnsi" w:hAnsiTheme="minorHAnsi"/>
                <w:sz w:val="24"/>
                <w:szCs w:val="24"/>
              </w:rPr>
            </w:pPr>
            <w:r w:rsidRPr="00781D99">
              <w:rPr>
                <w:rFonts w:asciiTheme="minorHAnsi" w:hAnsiTheme="minorHAnsi"/>
                <w:sz w:val="24"/>
                <w:szCs w:val="24"/>
              </w:rPr>
              <w:t xml:space="preserve">Részvény Adásvételi </w:t>
            </w:r>
            <w:r w:rsidR="00DD45DB" w:rsidRPr="00781D99">
              <w:rPr>
                <w:rFonts w:asciiTheme="minorHAnsi" w:hAnsiTheme="minorHAnsi"/>
                <w:sz w:val="24"/>
                <w:szCs w:val="24"/>
              </w:rPr>
              <w:t xml:space="preserve">Megállapodás </w:t>
            </w:r>
            <w:r w:rsidRPr="00781D99">
              <w:rPr>
                <w:rFonts w:asciiTheme="minorHAnsi" w:hAnsiTheme="minorHAnsi"/>
                <w:sz w:val="24"/>
                <w:szCs w:val="24"/>
              </w:rPr>
              <w:t>(amelyben a Felek meghatározzák azokat a feltételeket, amelyek mellett a Befektetői Részvények tulajdonjogát átruházzák).</w:t>
            </w:r>
          </w:p>
        </w:tc>
        <w:tc>
          <w:tcPr>
            <w:tcW w:w="4606" w:type="dxa"/>
          </w:tcPr>
          <w:p w:rsidR="00925ACD" w:rsidRPr="00781D99" w:rsidRDefault="00925ACD" w:rsidP="00925ACD">
            <w:pPr>
              <w:pStyle w:val="ListParagraph1"/>
              <w:numPr>
                <w:ilvl w:val="0"/>
                <w:numId w:val="14"/>
              </w:numPr>
              <w:spacing w:before="120" w:after="120" w:line="240" w:lineRule="auto"/>
              <w:ind w:left="781" w:hanging="425"/>
              <w:contextualSpacing w:val="0"/>
              <w:jc w:val="both"/>
              <w:rPr>
                <w:rFonts w:asciiTheme="minorHAnsi" w:hAnsiTheme="minorHAnsi"/>
                <w:sz w:val="24"/>
                <w:szCs w:val="24"/>
              </w:rPr>
            </w:pPr>
            <w:r w:rsidRPr="00781D99">
              <w:rPr>
                <w:rFonts w:asciiTheme="minorHAnsi" w:hAnsiTheme="minorHAnsi"/>
                <w:sz w:val="24"/>
                <w:szCs w:val="24"/>
                <w:lang w:val="en-GB"/>
              </w:rPr>
              <w:t>Share Purchase Agreement (describing the conditions in respect of the transfer of the Investor Shares)</w:t>
            </w:r>
          </w:p>
        </w:tc>
      </w:tr>
      <w:tr w:rsidR="00925ACD" w:rsidRPr="00781D99" w:rsidTr="00C058E9">
        <w:tc>
          <w:tcPr>
            <w:tcW w:w="4748" w:type="dxa"/>
          </w:tcPr>
          <w:p w:rsidR="00925ACD" w:rsidRPr="00781D99" w:rsidRDefault="00925ACD" w:rsidP="00C058E9">
            <w:pPr>
              <w:pStyle w:val="ListParagraph1"/>
              <w:numPr>
                <w:ilvl w:val="0"/>
                <w:numId w:val="1"/>
              </w:numPr>
              <w:spacing w:before="120" w:after="120" w:line="240" w:lineRule="auto"/>
              <w:ind w:left="284" w:right="72"/>
              <w:jc w:val="both"/>
              <w:rPr>
                <w:rFonts w:asciiTheme="minorHAnsi" w:hAnsiTheme="minorHAnsi"/>
                <w:sz w:val="24"/>
                <w:szCs w:val="24"/>
              </w:rPr>
            </w:pPr>
            <w:r w:rsidRPr="00781D99">
              <w:rPr>
                <w:rFonts w:asciiTheme="minorHAnsi" w:hAnsiTheme="minorHAnsi"/>
                <w:sz w:val="24"/>
                <w:szCs w:val="24"/>
              </w:rPr>
              <w:t>A Befektetői Részvények átruházásával és a Projekt Dokumentumok megszüntetésével kapcsolatos teljes tranzakciós érték nettó 15.1 milliárd Ft a következők szerint:</w:t>
            </w:r>
          </w:p>
          <w:p w:rsidR="00925ACD" w:rsidRPr="00781D99" w:rsidRDefault="00925ACD" w:rsidP="00C058E9">
            <w:pPr>
              <w:tabs>
                <w:tab w:val="left" w:pos="315"/>
              </w:tabs>
              <w:spacing w:before="120" w:after="120" w:line="240" w:lineRule="auto"/>
              <w:ind w:left="284" w:right="72"/>
              <w:jc w:val="both"/>
              <w:rPr>
                <w:rFonts w:asciiTheme="minorHAnsi" w:hAnsiTheme="minorHAnsi"/>
                <w:sz w:val="24"/>
                <w:szCs w:val="24"/>
              </w:rPr>
            </w:pPr>
          </w:p>
        </w:tc>
        <w:tc>
          <w:tcPr>
            <w:tcW w:w="4606" w:type="dxa"/>
          </w:tcPr>
          <w:p w:rsidR="00925ACD" w:rsidRPr="00781D99" w:rsidRDefault="00925ACD" w:rsidP="00925ACD">
            <w:pPr>
              <w:pStyle w:val="ListParagraph1"/>
              <w:numPr>
                <w:ilvl w:val="0"/>
                <w:numId w:val="4"/>
              </w:numPr>
              <w:spacing w:before="120" w:after="120" w:line="240" w:lineRule="auto"/>
              <w:ind w:left="356" w:hanging="284"/>
              <w:contextualSpacing w:val="0"/>
              <w:jc w:val="both"/>
              <w:rPr>
                <w:rFonts w:asciiTheme="minorHAnsi" w:hAnsiTheme="minorHAnsi"/>
                <w:sz w:val="24"/>
                <w:szCs w:val="24"/>
                <w:lang w:val="en-GB"/>
              </w:rPr>
            </w:pPr>
            <w:r w:rsidRPr="00781D99">
              <w:rPr>
                <w:rFonts w:asciiTheme="minorHAnsi" w:hAnsiTheme="minorHAnsi"/>
                <w:sz w:val="24"/>
                <w:szCs w:val="24"/>
                <w:lang w:val="en-GB"/>
              </w:rPr>
              <w:t xml:space="preserve">The total transaction value that is associated with the transfer of the Investor Shares and the termination of the relationships arising from or in connection with the Project Documents  will be net HUF 15.1 billion in accordance with the following: </w:t>
            </w:r>
          </w:p>
        </w:tc>
      </w:tr>
      <w:tr w:rsidR="00925ACD" w:rsidRPr="00781D99" w:rsidTr="00C058E9">
        <w:tc>
          <w:tcPr>
            <w:tcW w:w="4748" w:type="dxa"/>
          </w:tcPr>
          <w:p w:rsidR="00710603" w:rsidRPr="00781D99" w:rsidRDefault="00925ACD" w:rsidP="00C058E9">
            <w:pPr>
              <w:pStyle w:val="ListParagraph1"/>
              <w:numPr>
                <w:ilvl w:val="1"/>
                <w:numId w:val="1"/>
              </w:numPr>
              <w:spacing w:before="120" w:after="120" w:line="240" w:lineRule="auto"/>
              <w:ind w:left="709" w:right="72" w:hanging="338"/>
              <w:contextualSpacing w:val="0"/>
              <w:jc w:val="both"/>
              <w:rPr>
                <w:rFonts w:asciiTheme="minorHAnsi" w:hAnsiTheme="minorHAnsi"/>
                <w:sz w:val="24"/>
                <w:szCs w:val="24"/>
              </w:rPr>
            </w:pPr>
            <w:r w:rsidRPr="00781D99">
              <w:rPr>
                <w:rFonts w:asciiTheme="minorHAnsi" w:hAnsiTheme="minorHAnsi"/>
                <w:sz w:val="24"/>
                <w:szCs w:val="24"/>
              </w:rPr>
              <w:t xml:space="preserve">A Befektetői Részvényekért az Önkormányzat </w:t>
            </w:r>
            <w:r w:rsidR="00DC38CD" w:rsidRPr="00781D99">
              <w:rPr>
                <w:rFonts w:asciiTheme="minorHAnsi" w:hAnsiTheme="minorHAnsi"/>
                <w:sz w:val="24"/>
                <w:szCs w:val="24"/>
              </w:rPr>
              <w:t xml:space="preserve">(vagy az Önkormányzat által vevőnek kijelölt önkormányzati tulajdonú vállalat) </w:t>
            </w:r>
            <w:r w:rsidRPr="00781D99">
              <w:rPr>
                <w:rFonts w:asciiTheme="minorHAnsi" w:hAnsiTheme="minorHAnsi"/>
                <w:sz w:val="24"/>
                <w:szCs w:val="24"/>
              </w:rPr>
              <w:t xml:space="preserve">által a </w:t>
            </w:r>
            <w:r w:rsidRPr="00781D99">
              <w:rPr>
                <w:rFonts w:asciiTheme="minorHAnsi" w:hAnsiTheme="minorHAnsi"/>
                <w:sz w:val="24"/>
                <w:szCs w:val="24"/>
              </w:rPr>
              <w:lastRenderedPageBreak/>
              <w:t xml:space="preserve">Befektetőknek fizetendő vételár teljes összege 12.094 </w:t>
            </w:r>
          </w:p>
          <w:p w:rsidR="00D74769" w:rsidRPr="00781D99" w:rsidRDefault="00925ACD" w:rsidP="00C058E9">
            <w:pPr>
              <w:pStyle w:val="ListParagraph1"/>
              <w:spacing w:before="120" w:after="120" w:line="240" w:lineRule="auto"/>
              <w:ind w:left="709" w:right="72"/>
              <w:contextualSpacing w:val="0"/>
              <w:jc w:val="both"/>
              <w:rPr>
                <w:rFonts w:asciiTheme="minorHAnsi" w:hAnsiTheme="minorHAnsi"/>
                <w:sz w:val="24"/>
                <w:szCs w:val="24"/>
              </w:rPr>
            </w:pPr>
            <w:r w:rsidRPr="00781D99">
              <w:rPr>
                <w:rFonts w:asciiTheme="minorHAnsi" w:hAnsiTheme="minorHAnsi"/>
                <w:sz w:val="24"/>
                <w:szCs w:val="24"/>
              </w:rPr>
              <w:t>milliárd Ft, amelyből 8.25 milliárd Ft-ot a</w:t>
            </w:r>
            <w:r w:rsidR="00DC38CD" w:rsidRPr="00781D99">
              <w:rPr>
                <w:rFonts w:asciiTheme="minorHAnsi" w:hAnsiTheme="minorHAnsi"/>
                <w:sz w:val="24"/>
                <w:szCs w:val="24"/>
              </w:rPr>
              <w:t xml:space="preserve"> </w:t>
            </w:r>
            <w:r w:rsidR="00B014DB" w:rsidRPr="00781D99">
              <w:rPr>
                <w:rFonts w:asciiTheme="minorHAnsi" w:hAnsiTheme="minorHAnsi"/>
                <w:sz w:val="24"/>
                <w:szCs w:val="24"/>
              </w:rPr>
              <w:t>v</w:t>
            </w:r>
            <w:r w:rsidR="00DC38CD" w:rsidRPr="00781D99">
              <w:rPr>
                <w:rFonts w:asciiTheme="minorHAnsi" w:hAnsiTheme="minorHAnsi"/>
                <w:sz w:val="24"/>
                <w:szCs w:val="24"/>
              </w:rPr>
              <w:t xml:space="preserve">evő(k) </w:t>
            </w:r>
            <w:r w:rsidRPr="00781D99">
              <w:rPr>
                <w:rFonts w:asciiTheme="minorHAnsi" w:hAnsiTheme="minorHAnsi"/>
                <w:sz w:val="24"/>
                <w:szCs w:val="24"/>
              </w:rPr>
              <w:t xml:space="preserve">a Részvény Adásvételi </w:t>
            </w:r>
            <w:r w:rsidR="00D041FE" w:rsidRPr="00781D99">
              <w:rPr>
                <w:rFonts w:asciiTheme="minorHAnsi" w:hAnsiTheme="minorHAnsi"/>
                <w:sz w:val="24"/>
                <w:szCs w:val="24"/>
              </w:rPr>
              <w:t xml:space="preserve">Megállapodás </w:t>
            </w:r>
            <w:r w:rsidR="006B5094" w:rsidRPr="00781D99">
              <w:rPr>
                <w:rFonts w:asciiTheme="minorHAnsi" w:hAnsiTheme="minorHAnsi"/>
                <w:sz w:val="24"/>
                <w:szCs w:val="24"/>
              </w:rPr>
              <w:t xml:space="preserve">zárásakor </w:t>
            </w:r>
            <w:r w:rsidRPr="00781D99">
              <w:rPr>
                <w:rFonts w:asciiTheme="minorHAnsi" w:hAnsiTheme="minorHAnsi"/>
                <w:sz w:val="24"/>
                <w:szCs w:val="24"/>
              </w:rPr>
              <w:t>fizet</w:t>
            </w:r>
            <w:r w:rsidR="00DC38CD" w:rsidRPr="00781D99">
              <w:rPr>
                <w:rFonts w:asciiTheme="minorHAnsi" w:hAnsiTheme="minorHAnsi"/>
                <w:sz w:val="24"/>
                <w:szCs w:val="24"/>
              </w:rPr>
              <w:t>(nek)</w:t>
            </w:r>
            <w:r w:rsidRPr="00781D99">
              <w:rPr>
                <w:rFonts w:asciiTheme="minorHAnsi" w:hAnsiTheme="minorHAnsi"/>
                <w:sz w:val="24"/>
                <w:szCs w:val="24"/>
              </w:rPr>
              <w:t xml:space="preserve"> meg, </w:t>
            </w:r>
            <w:r w:rsidR="006B5094" w:rsidRPr="00781D99">
              <w:rPr>
                <w:rFonts w:asciiTheme="minorHAnsi" w:hAnsiTheme="minorHAnsi"/>
                <w:sz w:val="24"/>
                <w:szCs w:val="24"/>
              </w:rPr>
              <w:t xml:space="preserve">mely </w:t>
            </w:r>
            <w:r w:rsidR="00D041FE" w:rsidRPr="00781D99">
              <w:rPr>
                <w:rFonts w:asciiTheme="minorHAnsi" w:hAnsiTheme="minorHAnsi"/>
                <w:sz w:val="24"/>
                <w:szCs w:val="24"/>
              </w:rPr>
              <w:t xml:space="preserve">zárás </w:t>
            </w:r>
            <w:r w:rsidR="006B5094" w:rsidRPr="00781D99">
              <w:rPr>
                <w:rFonts w:asciiTheme="minorHAnsi" w:hAnsiTheme="minorHAnsi"/>
                <w:sz w:val="24"/>
                <w:szCs w:val="24"/>
              </w:rPr>
              <w:t>az aláírást követő</w:t>
            </w:r>
            <w:r w:rsidR="00DC38CD" w:rsidRPr="00781D99">
              <w:rPr>
                <w:rFonts w:asciiTheme="minorHAnsi" w:hAnsiTheme="minorHAnsi"/>
                <w:sz w:val="24"/>
                <w:szCs w:val="24"/>
              </w:rPr>
              <w:t>en akkor történik, amikor az adásvételhez szükséges valamennyi jóváhagyás rendelkezésre áll</w:t>
            </w:r>
            <w:r w:rsidR="00150E78" w:rsidRPr="00781D99">
              <w:rPr>
                <w:rFonts w:asciiTheme="minorHAnsi" w:hAnsiTheme="minorHAnsi"/>
                <w:sz w:val="24"/>
                <w:szCs w:val="24"/>
              </w:rPr>
              <w:t xml:space="preserve"> és feltétel teljesül,</w:t>
            </w:r>
            <w:r w:rsidR="006B5094" w:rsidRPr="00781D99">
              <w:rPr>
                <w:rFonts w:asciiTheme="minorHAnsi" w:hAnsiTheme="minorHAnsi"/>
                <w:sz w:val="24"/>
                <w:szCs w:val="24"/>
              </w:rPr>
              <w:t xml:space="preserve"> </w:t>
            </w:r>
            <w:r w:rsidRPr="00781D99">
              <w:rPr>
                <w:rFonts w:asciiTheme="minorHAnsi" w:hAnsiTheme="minorHAnsi"/>
                <w:sz w:val="24"/>
                <w:szCs w:val="24"/>
              </w:rPr>
              <w:t xml:space="preserve">míg 3.844 milliárd Ft a Részvény Adásvételi </w:t>
            </w:r>
            <w:r w:rsidR="0033694F" w:rsidRPr="00781D99">
              <w:rPr>
                <w:rFonts w:asciiTheme="minorHAnsi" w:hAnsiTheme="minorHAnsi"/>
                <w:sz w:val="24"/>
                <w:szCs w:val="24"/>
              </w:rPr>
              <w:t xml:space="preserve">Megállapodás </w:t>
            </w:r>
            <w:r w:rsidRPr="00781D99">
              <w:rPr>
                <w:rFonts w:asciiTheme="minorHAnsi" w:hAnsiTheme="minorHAnsi"/>
                <w:sz w:val="24"/>
                <w:szCs w:val="24"/>
              </w:rPr>
              <w:t xml:space="preserve">aláírását követő két éven belül esedékes, mindegyik évben két egyenlő részletben. A halasztott vételárrész megfizetésének biztosítékául az Önkormányzat </w:t>
            </w:r>
            <w:r w:rsidR="00710603" w:rsidRPr="00781D99">
              <w:rPr>
                <w:rFonts w:asciiTheme="minorHAnsi" w:hAnsiTheme="minorHAnsi"/>
                <w:sz w:val="24"/>
                <w:szCs w:val="24"/>
              </w:rPr>
              <w:t xml:space="preserve">(vagy az Önkormányzat által vevőnek kijelölt önkormányzati tulajdonú vállalat) </w:t>
            </w:r>
            <w:r w:rsidRPr="00781D99">
              <w:rPr>
                <w:rFonts w:asciiTheme="minorHAnsi" w:hAnsiTheme="minorHAnsi"/>
                <w:sz w:val="24"/>
                <w:szCs w:val="24"/>
              </w:rPr>
              <w:t xml:space="preserve">a Megszüntetési </w:t>
            </w:r>
            <w:r w:rsidR="0033694F" w:rsidRPr="00781D99">
              <w:rPr>
                <w:rFonts w:asciiTheme="minorHAnsi" w:hAnsiTheme="minorHAnsi"/>
                <w:sz w:val="24"/>
                <w:szCs w:val="24"/>
              </w:rPr>
              <w:t xml:space="preserve">és Elszámolási </w:t>
            </w:r>
            <w:r w:rsidRPr="00781D99">
              <w:rPr>
                <w:rFonts w:asciiTheme="minorHAnsi" w:hAnsiTheme="minorHAnsi"/>
                <w:sz w:val="24"/>
                <w:szCs w:val="24"/>
              </w:rPr>
              <w:t xml:space="preserve">Megállapodás és a Részvény Adásvételi </w:t>
            </w:r>
            <w:r w:rsidR="0033694F" w:rsidRPr="00781D99">
              <w:rPr>
                <w:rFonts w:asciiTheme="minorHAnsi" w:hAnsiTheme="minorHAnsi"/>
                <w:sz w:val="24"/>
                <w:szCs w:val="24"/>
              </w:rPr>
              <w:t xml:space="preserve">Megállapodás </w:t>
            </w:r>
            <w:r w:rsidRPr="00781D99">
              <w:rPr>
                <w:rFonts w:asciiTheme="minorHAnsi" w:hAnsiTheme="minorHAnsi"/>
                <w:sz w:val="24"/>
                <w:szCs w:val="24"/>
              </w:rPr>
              <w:t>aláírásával egyidejűleg átad egy feltétel nélküli és visszavonhatatlan bankgaranciát, amelyet (i) valamely magyarországi képviselettel rendelkező nagyobb kereskedelmi bank bocsátott ki, (ii) amely a fent említett dokume</w:t>
            </w:r>
            <w:r w:rsidR="006B28DC" w:rsidRPr="00781D99">
              <w:rPr>
                <w:rFonts w:asciiTheme="minorHAnsi" w:hAnsiTheme="minorHAnsi"/>
                <w:sz w:val="24"/>
                <w:szCs w:val="24"/>
              </w:rPr>
              <w:t>ntumok aláírását követő két évig és két hónapig</w:t>
            </w:r>
            <w:r w:rsidRPr="00781D99">
              <w:rPr>
                <w:rFonts w:asciiTheme="minorHAnsi" w:hAnsiTheme="minorHAnsi"/>
                <w:sz w:val="24"/>
                <w:szCs w:val="24"/>
              </w:rPr>
              <w:t xml:space="preserve"> érvényes és hatályos, illetve (iii) amely fedezi a 3,844 milliárd Ft tőketartozást és annak két évre számolt 10 %-os kamatát. </w:t>
            </w:r>
          </w:p>
        </w:tc>
        <w:tc>
          <w:tcPr>
            <w:tcW w:w="4606" w:type="dxa"/>
          </w:tcPr>
          <w:p w:rsidR="00710603" w:rsidRPr="00781D99" w:rsidRDefault="00925ACD">
            <w:pPr>
              <w:pStyle w:val="ListParagraph1"/>
              <w:numPr>
                <w:ilvl w:val="0"/>
                <w:numId w:val="15"/>
              </w:numPr>
              <w:spacing w:before="120" w:after="120" w:line="240" w:lineRule="auto"/>
              <w:ind w:left="639" w:hanging="283"/>
              <w:contextualSpacing w:val="0"/>
              <w:jc w:val="both"/>
              <w:rPr>
                <w:rFonts w:asciiTheme="minorHAnsi" w:hAnsiTheme="minorHAnsi"/>
                <w:sz w:val="24"/>
                <w:szCs w:val="24"/>
                <w:lang w:val="en-GB"/>
              </w:rPr>
            </w:pPr>
            <w:r w:rsidRPr="00781D99">
              <w:rPr>
                <w:rFonts w:asciiTheme="minorHAnsi" w:hAnsiTheme="minorHAnsi"/>
                <w:sz w:val="24"/>
                <w:szCs w:val="24"/>
                <w:lang w:val="en-GB"/>
              </w:rPr>
              <w:lastRenderedPageBreak/>
              <w:t xml:space="preserve">the purchase price of the Investor Shares payable by the Municipality </w:t>
            </w:r>
            <w:r w:rsidR="009F1CF0" w:rsidRPr="00781D99">
              <w:rPr>
                <w:rFonts w:asciiTheme="minorHAnsi" w:hAnsiTheme="minorHAnsi"/>
                <w:sz w:val="24"/>
                <w:szCs w:val="24"/>
                <w:lang w:val="en-GB"/>
              </w:rPr>
              <w:t xml:space="preserve">(or by the entity owned and appointed as buyer by the Municipality) </w:t>
            </w:r>
            <w:r w:rsidRPr="00781D99">
              <w:rPr>
                <w:rFonts w:asciiTheme="minorHAnsi" w:hAnsiTheme="minorHAnsi"/>
                <w:sz w:val="24"/>
                <w:szCs w:val="24"/>
                <w:lang w:val="en-GB"/>
              </w:rPr>
              <w:t xml:space="preserve">to the </w:t>
            </w:r>
            <w:r w:rsidRPr="00781D99">
              <w:rPr>
                <w:rFonts w:asciiTheme="minorHAnsi" w:hAnsiTheme="minorHAnsi"/>
                <w:sz w:val="24"/>
                <w:szCs w:val="24"/>
                <w:lang w:val="en-GB"/>
              </w:rPr>
              <w:lastRenderedPageBreak/>
              <w:t xml:space="preserve">Investors will be HUF 12.094 Billion out of which HUF 8.25 Billion will be paid </w:t>
            </w:r>
          </w:p>
          <w:p w:rsidR="00EE19F6" w:rsidRPr="00781D99" w:rsidRDefault="00925ACD" w:rsidP="00710603">
            <w:pPr>
              <w:pStyle w:val="ListParagraph1"/>
              <w:spacing w:before="120" w:after="120" w:line="240" w:lineRule="auto"/>
              <w:ind w:left="639"/>
              <w:contextualSpacing w:val="0"/>
              <w:jc w:val="both"/>
              <w:rPr>
                <w:rFonts w:asciiTheme="minorHAnsi" w:hAnsiTheme="minorHAnsi"/>
                <w:sz w:val="24"/>
                <w:szCs w:val="24"/>
                <w:lang w:val="en-GB"/>
              </w:rPr>
            </w:pPr>
            <w:r w:rsidRPr="00781D99">
              <w:rPr>
                <w:rFonts w:asciiTheme="minorHAnsi" w:hAnsiTheme="minorHAnsi"/>
                <w:sz w:val="24"/>
                <w:szCs w:val="24"/>
                <w:lang w:val="en-GB"/>
              </w:rPr>
              <w:t xml:space="preserve">simultaneously with the </w:t>
            </w:r>
            <w:r w:rsidR="0033694F" w:rsidRPr="00781D99">
              <w:rPr>
                <w:rFonts w:asciiTheme="minorHAnsi" w:hAnsiTheme="minorHAnsi"/>
                <w:sz w:val="24"/>
                <w:szCs w:val="24"/>
                <w:lang w:val="en-GB"/>
              </w:rPr>
              <w:t xml:space="preserve">closing </w:t>
            </w:r>
            <w:r w:rsidRPr="00781D99">
              <w:rPr>
                <w:rFonts w:asciiTheme="minorHAnsi" w:hAnsiTheme="minorHAnsi"/>
                <w:sz w:val="24"/>
                <w:szCs w:val="24"/>
                <w:lang w:val="en-GB"/>
              </w:rPr>
              <w:t>of the Share Purchase Agreement</w:t>
            </w:r>
            <w:r w:rsidR="0033694F" w:rsidRPr="00781D99">
              <w:rPr>
                <w:rFonts w:asciiTheme="minorHAnsi" w:hAnsiTheme="minorHAnsi"/>
                <w:sz w:val="24"/>
                <w:szCs w:val="24"/>
                <w:lang w:val="en-GB"/>
              </w:rPr>
              <w:t>, which</w:t>
            </w:r>
            <w:r w:rsidR="00D041FE" w:rsidRPr="00781D99">
              <w:rPr>
                <w:rFonts w:asciiTheme="minorHAnsi" w:hAnsiTheme="minorHAnsi"/>
                <w:sz w:val="24"/>
                <w:szCs w:val="24"/>
                <w:lang w:val="en-GB"/>
              </w:rPr>
              <w:t xml:space="preserve"> closing</w:t>
            </w:r>
            <w:r w:rsidR="0033694F" w:rsidRPr="00781D99">
              <w:rPr>
                <w:rFonts w:asciiTheme="minorHAnsi" w:hAnsiTheme="minorHAnsi"/>
                <w:sz w:val="24"/>
                <w:szCs w:val="24"/>
                <w:lang w:val="en-GB"/>
              </w:rPr>
              <w:t xml:space="preserve"> is to occur after the signing</w:t>
            </w:r>
            <w:r w:rsidR="009F1CF0" w:rsidRPr="00781D99">
              <w:rPr>
                <w:rFonts w:asciiTheme="minorHAnsi" w:hAnsiTheme="minorHAnsi"/>
                <w:sz w:val="24"/>
                <w:szCs w:val="24"/>
                <w:lang w:val="en-GB"/>
              </w:rPr>
              <w:t xml:space="preserve"> when all approvals needed for the purchase will have been obtained and conditions met</w:t>
            </w:r>
            <w:r w:rsidR="0033694F" w:rsidRPr="00781D99">
              <w:rPr>
                <w:rFonts w:asciiTheme="minorHAnsi" w:hAnsiTheme="minorHAnsi"/>
                <w:sz w:val="24"/>
                <w:szCs w:val="24"/>
                <w:lang w:val="en-GB"/>
              </w:rPr>
              <w:t>,</w:t>
            </w:r>
            <w:r w:rsidRPr="00781D99">
              <w:rPr>
                <w:rFonts w:asciiTheme="minorHAnsi" w:hAnsiTheme="minorHAnsi"/>
                <w:sz w:val="24"/>
                <w:szCs w:val="24"/>
                <w:lang w:val="en-GB"/>
              </w:rPr>
              <w:t xml:space="preserve"> and HUF 3.844 Billion will be payable by not later than in two years following the signing of the Share Purchase Agreement and in two equal instalments in each year. In order to secure the deferred portion of the  of purchase price, the Municipality </w:t>
            </w:r>
            <w:r w:rsidR="00710603" w:rsidRPr="00781D99">
              <w:rPr>
                <w:rFonts w:asciiTheme="minorHAnsi" w:hAnsiTheme="minorHAnsi"/>
                <w:sz w:val="24"/>
                <w:szCs w:val="24"/>
                <w:lang w:val="en-GB"/>
              </w:rPr>
              <w:t xml:space="preserve">(or by the entity owned and appointed as buyer by the Municipality) </w:t>
            </w:r>
            <w:r w:rsidRPr="00781D99">
              <w:rPr>
                <w:rFonts w:asciiTheme="minorHAnsi" w:hAnsiTheme="minorHAnsi"/>
                <w:sz w:val="24"/>
                <w:szCs w:val="24"/>
                <w:lang w:val="en-GB"/>
              </w:rPr>
              <w:t xml:space="preserve">will hand over simultaneously with the signing of the </w:t>
            </w:r>
            <w:r w:rsidR="0033694F" w:rsidRPr="00781D99">
              <w:rPr>
                <w:rFonts w:asciiTheme="minorHAnsi" w:hAnsiTheme="minorHAnsi"/>
                <w:sz w:val="24"/>
                <w:szCs w:val="24"/>
                <w:lang w:val="en-GB"/>
              </w:rPr>
              <w:t xml:space="preserve">Termination and </w:t>
            </w:r>
            <w:r w:rsidRPr="00781D99">
              <w:rPr>
                <w:rFonts w:asciiTheme="minorHAnsi" w:hAnsiTheme="minorHAnsi"/>
                <w:sz w:val="24"/>
                <w:szCs w:val="24"/>
                <w:lang w:val="en-GB"/>
              </w:rPr>
              <w:t xml:space="preserve">Settlement Agreement and the Share Purchase Agreement an unconditional and irrevocable bank guarantee (i) issued by one of the major commercial banks  having representation in Hungary; (ii) being valid and effective for a period of two years </w:t>
            </w:r>
            <w:r w:rsidR="00A05BB4" w:rsidRPr="00781D99">
              <w:rPr>
                <w:rFonts w:asciiTheme="minorHAnsi" w:hAnsiTheme="minorHAnsi"/>
                <w:sz w:val="24"/>
                <w:szCs w:val="24"/>
                <w:lang w:val="en-GB"/>
              </w:rPr>
              <w:t xml:space="preserve">and two months </w:t>
            </w:r>
            <w:r w:rsidRPr="00781D99">
              <w:rPr>
                <w:rFonts w:asciiTheme="minorHAnsi" w:hAnsiTheme="minorHAnsi"/>
                <w:sz w:val="24"/>
                <w:szCs w:val="24"/>
                <w:lang w:val="en-GB"/>
              </w:rPr>
              <w:t>following the signing of the aforesaid documents and (iii) covering the sum of the HUF 3.844  Billion plus 10 % interest on such capital amount for two years.</w:t>
            </w:r>
          </w:p>
        </w:tc>
      </w:tr>
      <w:tr w:rsidR="00925ACD" w:rsidRPr="00781D99" w:rsidTr="00C058E9">
        <w:tc>
          <w:tcPr>
            <w:tcW w:w="4748" w:type="dxa"/>
          </w:tcPr>
          <w:p w:rsidR="00925ACD" w:rsidRPr="00781D99" w:rsidRDefault="00925ACD" w:rsidP="00C058E9">
            <w:pPr>
              <w:pStyle w:val="ListParagraph1"/>
              <w:numPr>
                <w:ilvl w:val="1"/>
                <w:numId w:val="1"/>
              </w:numPr>
              <w:spacing w:before="120" w:after="120" w:line="240" w:lineRule="auto"/>
              <w:ind w:left="709" w:right="72" w:hanging="338"/>
              <w:contextualSpacing w:val="0"/>
              <w:jc w:val="both"/>
              <w:rPr>
                <w:rFonts w:asciiTheme="minorHAnsi" w:hAnsiTheme="minorHAnsi"/>
                <w:sz w:val="24"/>
                <w:szCs w:val="24"/>
              </w:rPr>
            </w:pPr>
            <w:r w:rsidRPr="00781D99">
              <w:rPr>
                <w:rFonts w:asciiTheme="minorHAnsi" w:hAnsiTheme="minorHAnsi"/>
                <w:sz w:val="24"/>
                <w:szCs w:val="24"/>
              </w:rPr>
              <w:lastRenderedPageBreak/>
              <w:t xml:space="preserve">Az Önkormányzat </w:t>
            </w:r>
            <w:r w:rsidR="00710603" w:rsidRPr="00781D99">
              <w:rPr>
                <w:rFonts w:asciiTheme="minorHAnsi" w:hAnsiTheme="minorHAnsi"/>
                <w:sz w:val="24"/>
                <w:szCs w:val="24"/>
              </w:rPr>
              <w:t xml:space="preserve">(vagy az Önkormányzat által vevőnek kijelölt önkormányzati tulajdonú vállalat) </w:t>
            </w:r>
            <w:r w:rsidRPr="00781D99">
              <w:rPr>
                <w:rFonts w:asciiTheme="minorHAnsi" w:hAnsiTheme="minorHAnsi"/>
                <w:sz w:val="24"/>
                <w:szCs w:val="24"/>
              </w:rPr>
              <w:t xml:space="preserve">a Megszüntetési Megállapodás és a Részvény Adásvételi </w:t>
            </w:r>
            <w:r w:rsidR="0033694F" w:rsidRPr="00781D99">
              <w:rPr>
                <w:rFonts w:asciiTheme="minorHAnsi" w:hAnsiTheme="minorHAnsi"/>
                <w:sz w:val="24"/>
                <w:szCs w:val="24"/>
              </w:rPr>
              <w:t xml:space="preserve">Megállapodás </w:t>
            </w:r>
            <w:r w:rsidRPr="00781D99">
              <w:rPr>
                <w:rFonts w:asciiTheme="minorHAnsi" w:hAnsiTheme="minorHAnsi"/>
                <w:sz w:val="24"/>
                <w:szCs w:val="24"/>
              </w:rPr>
              <w:t>aláírásával egyidejűleg átvállalja a Hungáriavíz Zrt. OTP Bank Zrt-vel kötött hitelszerződéséből eredő valamennyi kötelezettségét; 2012. április elsején a hitelszerződésből eredő</w:t>
            </w:r>
            <w:r w:rsidR="00431AAD">
              <w:rPr>
                <w:rFonts w:asciiTheme="minorHAnsi" w:hAnsiTheme="minorHAnsi"/>
                <w:sz w:val="24"/>
                <w:szCs w:val="24"/>
              </w:rPr>
              <w:t>,</w:t>
            </w:r>
            <w:r w:rsidRPr="00781D99">
              <w:rPr>
                <w:rFonts w:asciiTheme="minorHAnsi" w:hAnsiTheme="minorHAnsi"/>
                <w:sz w:val="24"/>
                <w:szCs w:val="24"/>
              </w:rPr>
              <w:t xml:space="preserve"> még fennálló tartozás összege 2,537 milliárd Ft (362,5 millió Ft x 7).</w:t>
            </w:r>
          </w:p>
        </w:tc>
        <w:tc>
          <w:tcPr>
            <w:tcW w:w="4606" w:type="dxa"/>
          </w:tcPr>
          <w:p w:rsidR="00925ACD" w:rsidRPr="00781D99" w:rsidRDefault="00925ACD" w:rsidP="00925ACD">
            <w:pPr>
              <w:pStyle w:val="ListParagraph1"/>
              <w:numPr>
                <w:ilvl w:val="0"/>
                <w:numId w:val="15"/>
              </w:numPr>
              <w:spacing w:before="120" w:after="120" w:line="240" w:lineRule="auto"/>
              <w:ind w:left="639" w:hanging="283"/>
              <w:contextualSpacing w:val="0"/>
              <w:jc w:val="both"/>
              <w:rPr>
                <w:rFonts w:asciiTheme="minorHAnsi" w:hAnsiTheme="minorHAnsi"/>
                <w:sz w:val="24"/>
                <w:szCs w:val="24"/>
                <w:lang w:val="en-GB"/>
              </w:rPr>
            </w:pPr>
            <w:r w:rsidRPr="00781D99">
              <w:rPr>
                <w:rFonts w:asciiTheme="minorHAnsi" w:hAnsiTheme="minorHAnsi"/>
                <w:sz w:val="24"/>
                <w:szCs w:val="24"/>
                <w:lang w:val="en-GB"/>
              </w:rPr>
              <w:t xml:space="preserve">The Municipality, </w:t>
            </w:r>
            <w:r w:rsidR="00710603" w:rsidRPr="00781D99">
              <w:rPr>
                <w:rFonts w:asciiTheme="minorHAnsi" w:hAnsiTheme="minorHAnsi"/>
                <w:sz w:val="24"/>
                <w:szCs w:val="24"/>
                <w:lang w:val="en-GB"/>
              </w:rPr>
              <w:t xml:space="preserve">(or by the entity owned and appointed as buyer by the Municipality) </w:t>
            </w:r>
            <w:r w:rsidRPr="00781D99">
              <w:rPr>
                <w:rFonts w:asciiTheme="minorHAnsi" w:hAnsiTheme="minorHAnsi"/>
                <w:sz w:val="24"/>
                <w:szCs w:val="24"/>
                <w:lang w:val="en-GB"/>
              </w:rPr>
              <w:t>simultaneously with the signing of the Settlement Agreement and the Share Purchase Agreement,  will assume all the obligations arising from the loan agreement Hungáriavíz Zrt. concluded with OTP Bank Zrt., the outstanding amount of which is HUF 2.537 Billion (i.e. 7 times HUF 362.5 million) as of 1 April 2012.</w:t>
            </w:r>
          </w:p>
        </w:tc>
      </w:tr>
      <w:tr w:rsidR="00925ACD" w:rsidRPr="00781D99" w:rsidTr="00C058E9">
        <w:trPr>
          <w:trHeight w:val="1442"/>
        </w:trPr>
        <w:tc>
          <w:tcPr>
            <w:tcW w:w="4748" w:type="dxa"/>
          </w:tcPr>
          <w:p w:rsidR="00710603" w:rsidRPr="00781D99" w:rsidRDefault="00925ACD" w:rsidP="00635684">
            <w:pPr>
              <w:pStyle w:val="ListParagraph1"/>
              <w:numPr>
                <w:ilvl w:val="1"/>
                <w:numId w:val="1"/>
              </w:numPr>
              <w:spacing w:before="120" w:after="120" w:line="240" w:lineRule="auto"/>
              <w:ind w:left="709" w:right="72" w:hanging="338"/>
              <w:contextualSpacing w:val="0"/>
              <w:jc w:val="both"/>
              <w:rPr>
                <w:rFonts w:asciiTheme="minorHAnsi" w:hAnsiTheme="minorHAnsi"/>
                <w:sz w:val="24"/>
                <w:szCs w:val="24"/>
              </w:rPr>
            </w:pPr>
            <w:r w:rsidRPr="00781D99">
              <w:rPr>
                <w:rFonts w:asciiTheme="minorHAnsi" w:hAnsiTheme="minorHAnsi"/>
                <w:sz w:val="24"/>
                <w:szCs w:val="24"/>
              </w:rPr>
              <w:lastRenderedPageBreak/>
              <w:t xml:space="preserve">A Hungáriavíz Zrt. 2012. első negyedévére vonatkozóan jogosult nettó </w:t>
            </w:r>
            <w:r w:rsidR="008A5EEB" w:rsidRPr="00781D99">
              <w:rPr>
                <w:rFonts w:asciiTheme="minorHAnsi" w:hAnsiTheme="minorHAnsi"/>
                <w:sz w:val="24"/>
                <w:szCs w:val="24"/>
              </w:rPr>
              <w:t>468.947.500</w:t>
            </w:r>
            <w:r w:rsidR="00113A82" w:rsidRPr="00781D99">
              <w:rPr>
                <w:rFonts w:asciiTheme="minorHAnsi" w:hAnsiTheme="minorHAnsi"/>
                <w:sz w:val="24"/>
                <w:szCs w:val="24"/>
              </w:rPr>
              <w:t xml:space="preserve"> </w:t>
            </w:r>
            <w:r w:rsidRPr="00781D99">
              <w:rPr>
                <w:rFonts w:asciiTheme="minorHAnsi" w:hAnsiTheme="minorHAnsi"/>
                <w:sz w:val="24"/>
                <w:szCs w:val="24"/>
              </w:rPr>
              <w:t xml:space="preserve">Ft-ra menedzsmentdíjként legkésőbb </w:t>
            </w:r>
            <w:r w:rsidR="00113A82" w:rsidRPr="00781D99">
              <w:rPr>
                <w:rFonts w:asciiTheme="minorHAnsi" w:hAnsiTheme="minorHAnsi"/>
                <w:sz w:val="24"/>
                <w:szCs w:val="24"/>
              </w:rPr>
              <w:t xml:space="preserve"> </w:t>
            </w:r>
          </w:p>
          <w:p w:rsidR="00925ACD" w:rsidRPr="00781D99" w:rsidRDefault="00925ACD" w:rsidP="00C058E9">
            <w:pPr>
              <w:pStyle w:val="ListParagraph1"/>
              <w:spacing w:before="120" w:after="120" w:line="240" w:lineRule="auto"/>
              <w:ind w:left="709" w:right="72"/>
              <w:contextualSpacing w:val="0"/>
              <w:jc w:val="both"/>
              <w:rPr>
                <w:rFonts w:asciiTheme="minorHAnsi" w:hAnsiTheme="minorHAnsi"/>
                <w:sz w:val="24"/>
                <w:szCs w:val="24"/>
              </w:rPr>
            </w:pPr>
            <w:r w:rsidRPr="00781D99">
              <w:rPr>
                <w:rFonts w:asciiTheme="minorHAnsi" w:hAnsiTheme="minorHAnsi"/>
                <w:sz w:val="24"/>
                <w:szCs w:val="24"/>
              </w:rPr>
              <w:t>2012. március 31-éig.</w:t>
            </w:r>
            <w:r w:rsidR="003420D4" w:rsidRPr="00781D99">
              <w:rPr>
                <w:rFonts w:asciiTheme="minorHAnsi" w:hAnsiTheme="minorHAnsi"/>
                <w:sz w:val="24"/>
                <w:szCs w:val="24"/>
              </w:rPr>
              <w:t xml:space="preserve"> </w:t>
            </w:r>
          </w:p>
          <w:p w:rsidR="00FA6ADE" w:rsidRPr="00781D99" w:rsidRDefault="00973574">
            <w:pPr>
              <w:pStyle w:val="ListParagraph1"/>
              <w:spacing w:before="120" w:after="120" w:line="240" w:lineRule="auto"/>
              <w:ind w:left="284" w:right="72"/>
              <w:contextualSpacing w:val="0"/>
              <w:jc w:val="both"/>
              <w:rPr>
                <w:rFonts w:asciiTheme="minorHAnsi" w:hAnsiTheme="minorHAnsi"/>
                <w:sz w:val="24"/>
                <w:szCs w:val="24"/>
              </w:rPr>
            </w:pPr>
            <w:r w:rsidRPr="00781D99">
              <w:rPr>
                <w:rFonts w:asciiTheme="minorHAnsi" w:hAnsiTheme="minorHAnsi"/>
                <w:sz w:val="24"/>
                <w:szCs w:val="24"/>
              </w:rPr>
              <w:t xml:space="preserve">A </w:t>
            </w:r>
            <w:r w:rsidR="00635684">
              <w:rPr>
                <w:rFonts w:asciiTheme="minorHAnsi" w:hAnsiTheme="minorHAnsi"/>
                <w:sz w:val="24"/>
                <w:szCs w:val="24"/>
              </w:rPr>
              <w:t>3</w:t>
            </w:r>
            <w:r w:rsidRPr="00781D99">
              <w:rPr>
                <w:rFonts w:asciiTheme="minorHAnsi" w:hAnsiTheme="minorHAnsi"/>
                <w:sz w:val="24"/>
                <w:szCs w:val="24"/>
              </w:rPr>
              <w:t>.</w:t>
            </w:r>
            <w:r w:rsidR="00635684">
              <w:rPr>
                <w:rFonts w:asciiTheme="minorHAnsi" w:hAnsiTheme="minorHAnsi"/>
                <w:sz w:val="24"/>
                <w:szCs w:val="24"/>
              </w:rPr>
              <w:t xml:space="preserve"> </w:t>
            </w:r>
            <w:r w:rsidRPr="00781D99">
              <w:rPr>
                <w:rFonts w:asciiTheme="minorHAnsi" w:hAnsiTheme="minorHAnsi"/>
                <w:sz w:val="24"/>
                <w:szCs w:val="24"/>
              </w:rPr>
              <w:t>pontban hivatkozott megállapodások megkötése és az ügylet zárása esetén a 2012. április 1 utáni időszakra menedzsmentdíj nem jár</w:t>
            </w:r>
            <w:r w:rsidR="007F7B6E">
              <w:rPr>
                <w:rFonts w:asciiTheme="minorHAnsi" w:hAnsiTheme="minorHAnsi"/>
                <w:sz w:val="24"/>
                <w:szCs w:val="24"/>
              </w:rPr>
              <w:t xml:space="preserve"> a Befektetőknek</w:t>
            </w:r>
            <w:r w:rsidRPr="00781D99">
              <w:rPr>
                <w:rFonts w:asciiTheme="minorHAnsi" w:hAnsiTheme="minorHAnsi"/>
                <w:sz w:val="24"/>
                <w:szCs w:val="24"/>
              </w:rPr>
              <w:t>.</w:t>
            </w:r>
          </w:p>
          <w:p w:rsidR="00AD7F1E" w:rsidRPr="00781D99" w:rsidRDefault="00AD7F1E" w:rsidP="00C058E9">
            <w:pPr>
              <w:pStyle w:val="ListParagraph1"/>
              <w:spacing w:before="120" w:after="120" w:line="240" w:lineRule="auto"/>
              <w:ind w:left="426" w:right="72"/>
              <w:contextualSpacing w:val="0"/>
              <w:jc w:val="both"/>
              <w:rPr>
                <w:rFonts w:asciiTheme="minorHAnsi" w:hAnsiTheme="minorHAnsi"/>
                <w:sz w:val="24"/>
                <w:szCs w:val="24"/>
              </w:rPr>
            </w:pPr>
          </w:p>
        </w:tc>
        <w:tc>
          <w:tcPr>
            <w:tcW w:w="4606" w:type="dxa"/>
          </w:tcPr>
          <w:p w:rsidR="00925ACD" w:rsidRPr="00635684" w:rsidRDefault="00925ACD" w:rsidP="00925ACD">
            <w:pPr>
              <w:pStyle w:val="ListParagraph1"/>
              <w:numPr>
                <w:ilvl w:val="0"/>
                <w:numId w:val="15"/>
              </w:numPr>
              <w:spacing w:before="120" w:after="120" w:line="240" w:lineRule="auto"/>
              <w:ind w:left="639" w:hanging="283"/>
              <w:contextualSpacing w:val="0"/>
              <w:jc w:val="both"/>
              <w:rPr>
                <w:rFonts w:asciiTheme="minorHAnsi" w:hAnsiTheme="minorHAnsi"/>
                <w:sz w:val="24"/>
                <w:szCs w:val="24"/>
              </w:rPr>
            </w:pPr>
            <w:r w:rsidRPr="00781D99">
              <w:rPr>
                <w:rFonts w:asciiTheme="minorHAnsi" w:hAnsiTheme="minorHAnsi"/>
                <w:sz w:val="24"/>
                <w:szCs w:val="24"/>
                <w:lang w:val="en-GB"/>
              </w:rPr>
              <w:t xml:space="preserve">Hungáriavíz Zrt. will receive a  management fee of HUF 464 million (net of tax) for Q1 2012, by not later than 31st March 2012. </w:t>
            </w:r>
          </w:p>
          <w:p w:rsidR="00635684" w:rsidRPr="00781D99" w:rsidRDefault="007F7B6E" w:rsidP="00635684">
            <w:pPr>
              <w:pStyle w:val="ListParagraph1"/>
              <w:spacing w:before="120" w:after="120" w:line="240" w:lineRule="auto"/>
              <w:ind w:left="356"/>
              <w:contextualSpacing w:val="0"/>
              <w:jc w:val="both"/>
              <w:rPr>
                <w:rFonts w:asciiTheme="minorHAnsi" w:hAnsiTheme="minorHAnsi"/>
                <w:sz w:val="24"/>
                <w:szCs w:val="24"/>
              </w:rPr>
            </w:pPr>
            <w:r>
              <w:rPr>
                <w:rFonts w:asciiTheme="minorHAnsi" w:hAnsiTheme="minorHAnsi"/>
                <w:sz w:val="24"/>
                <w:szCs w:val="24"/>
              </w:rPr>
              <w:t>The Investors are not entitled to receive, subject to the signing and closing of the transation documents, management fee for the period from and after 1 April 2012.</w:t>
            </w:r>
          </w:p>
        </w:tc>
      </w:tr>
      <w:tr w:rsidR="00B014DB" w:rsidRPr="00781D99" w:rsidTr="00C058E9">
        <w:tc>
          <w:tcPr>
            <w:tcW w:w="4748" w:type="dxa"/>
          </w:tcPr>
          <w:p w:rsidR="00FA6ADE" w:rsidRPr="00781D99" w:rsidRDefault="00B014DB">
            <w:pPr>
              <w:pStyle w:val="ListParagraph1"/>
              <w:numPr>
                <w:ilvl w:val="0"/>
                <w:numId w:val="1"/>
              </w:numPr>
              <w:spacing w:before="120" w:after="120" w:line="240" w:lineRule="auto"/>
              <w:ind w:left="284" w:right="72"/>
              <w:jc w:val="both"/>
              <w:rPr>
                <w:rFonts w:asciiTheme="minorHAnsi" w:hAnsiTheme="minorHAnsi"/>
                <w:sz w:val="24"/>
                <w:szCs w:val="24"/>
              </w:rPr>
            </w:pPr>
            <w:r w:rsidRPr="00781D99">
              <w:rPr>
                <w:rFonts w:asciiTheme="minorHAnsi" w:hAnsiTheme="minorHAnsi"/>
                <w:sz w:val="24"/>
                <w:szCs w:val="24"/>
              </w:rPr>
              <w:t>Az Önkormányzat nem jogosult beszámítani semmilyen tipusú vagy fajtájú követelését azokba a kifizetésekbe, amelyeket a Megszüntetési Megállapodás és/vagy a Részvény Adásvételi Szerződés alapján kell megfizetnie.</w:t>
            </w:r>
          </w:p>
        </w:tc>
        <w:tc>
          <w:tcPr>
            <w:tcW w:w="4606" w:type="dxa"/>
          </w:tcPr>
          <w:p w:rsidR="00B014DB" w:rsidRPr="00781D99" w:rsidRDefault="001A3A90" w:rsidP="00B014DB">
            <w:pPr>
              <w:pStyle w:val="ListParagraph1"/>
              <w:numPr>
                <w:ilvl w:val="0"/>
                <w:numId w:val="4"/>
              </w:numPr>
              <w:spacing w:before="120" w:after="120" w:line="240" w:lineRule="auto"/>
              <w:ind w:left="356" w:hanging="284"/>
              <w:contextualSpacing w:val="0"/>
              <w:jc w:val="both"/>
              <w:rPr>
                <w:rFonts w:asciiTheme="minorHAnsi" w:hAnsiTheme="minorHAnsi"/>
                <w:sz w:val="24"/>
                <w:szCs w:val="24"/>
                <w:lang w:val="en-GB"/>
              </w:rPr>
            </w:pPr>
            <w:r w:rsidRPr="00781D99">
              <w:rPr>
                <w:rFonts w:asciiTheme="minorHAnsi" w:hAnsiTheme="minorHAnsi"/>
                <w:sz w:val="24"/>
                <w:szCs w:val="24"/>
                <w:lang w:val="en-GB"/>
              </w:rPr>
              <w:t>The Municipality shall not be entitled to set off any claims of whatsoever nature or kind against any payments that is payable under the Settlement Agreement and/or the Share Purchase Agreement.</w:t>
            </w:r>
          </w:p>
        </w:tc>
      </w:tr>
      <w:tr w:rsidR="00294DED" w:rsidRPr="00781D99" w:rsidTr="00C058E9">
        <w:tc>
          <w:tcPr>
            <w:tcW w:w="4748" w:type="dxa"/>
          </w:tcPr>
          <w:p w:rsidR="00294DED" w:rsidRPr="00781D99" w:rsidRDefault="007E3CB7" w:rsidP="00C058E9">
            <w:pPr>
              <w:pStyle w:val="ListParagraph1"/>
              <w:numPr>
                <w:ilvl w:val="0"/>
                <w:numId w:val="1"/>
              </w:numPr>
              <w:spacing w:before="120" w:after="120" w:line="240" w:lineRule="auto"/>
              <w:ind w:left="284" w:right="72"/>
              <w:jc w:val="both"/>
              <w:rPr>
                <w:rFonts w:asciiTheme="minorHAnsi" w:hAnsiTheme="minorHAnsi"/>
                <w:sz w:val="24"/>
                <w:szCs w:val="24"/>
              </w:rPr>
            </w:pPr>
            <w:r w:rsidRPr="00781D99">
              <w:rPr>
                <w:rFonts w:asciiTheme="minorHAnsi" w:hAnsiTheme="minorHAnsi"/>
                <w:sz w:val="24"/>
                <w:szCs w:val="24"/>
              </w:rPr>
              <w:t>A Megszüntetési Megállapodás és a Részvény Adásvételi Szerződés:</w:t>
            </w:r>
          </w:p>
        </w:tc>
        <w:tc>
          <w:tcPr>
            <w:tcW w:w="4606" w:type="dxa"/>
          </w:tcPr>
          <w:p w:rsidR="00294DED" w:rsidRPr="00781D99" w:rsidRDefault="00294DED" w:rsidP="00DD1CF4">
            <w:pPr>
              <w:pStyle w:val="ListParagraph1"/>
              <w:numPr>
                <w:ilvl w:val="0"/>
                <w:numId w:val="4"/>
              </w:numPr>
              <w:spacing w:before="120" w:after="120" w:line="240" w:lineRule="auto"/>
              <w:ind w:left="356" w:hanging="284"/>
              <w:contextualSpacing w:val="0"/>
              <w:jc w:val="both"/>
              <w:rPr>
                <w:rFonts w:asciiTheme="minorHAnsi" w:hAnsiTheme="minorHAnsi"/>
                <w:sz w:val="24"/>
                <w:szCs w:val="24"/>
                <w:lang w:val="en-GB"/>
              </w:rPr>
            </w:pPr>
            <w:r w:rsidRPr="00781D99">
              <w:rPr>
                <w:rFonts w:asciiTheme="minorHAnsi" w:hAnsiTheme="minorHAnsi"/>
                <w:sz w:val="24"/>
                <w:szCs w:val="24"/>
                <w:lang w:val="en-GB"/>
              </w:rPr>
              <w:t>The</w:t>
            </w:r>
            <w:r w:rsidR="00B26722" w:rsidRPr="00781D99">
              <w:rPr>
                <w:rFonts w:asciiTheme="minorHAnsi" w:hAnsiTheme="minorHAnsi"/>
                <w:sz w:val="24"/>
                <w:szCs w:val="24"/>
                <w:lang w:val="en-GB"/>
              </w:rPr>
              <w:t xml:space="preserve"> Settlement Agreement and the Share Purchase Agreement will</w:t>
            </w:r>
            <w:r w:rsidR="004E4240" w:rsidRPr="00781D99">
              <w:rPr>
                <w:rFonts w:asciiTheme="minorHAnsi" w:hAnsiTheme="minorHAnsi"/>
                <w:sz w:val="24"/>
                <w:szCs w:val="24"/>
                <w:lang w:val="en-GB"/>
              </w:rPr>
              <w:t>:</w:t>
            </w:r>
          </w:p>
        </w:tc>
      </w:tr>
      <w:tr w:rsidR="00925ACD" w:rsidRPr="00781D99" w:rsidTr="00C058E9">
        <w:tc>
          <w:tcPr>
            <w:tcW w:w="4748" w:type="dxa"/>
          </w:tcPr>
          <w:p w:rsidR="00FA6ADE" w:rsidRPr="00781D99" w:rsidRDefault="00925ACD" w:rsidP="00D97C21">
            <w:pPr>
              <w:pStyle w:val="ListParagraph1"/>
              <w:numPr>
                <w:ilvl w:val="0"/>
                <w:numId w:val="17"/>
              </w:numPr>
              <w:spacing w:before="120" w:after="120" w:line="240" w:lineRule="auto"/>
              <w:ind w:left="567" w:right="72" w:hanging="283"/>
              <w:contextualSpacing w:val="0"/>
              <w:jc w:val="both"/>
              <w:rPr>
                <w:rFonts w:asciiTheme="minorHAnsi" w:hAnsiTheme="minorHAnsi"/>
                <w:sz w:val="24"/>
                <w:szCs w:val="24"/>
              </w:rPr>
            </w:pPr>
            <w:r w:rsidRPr="00781D99">
              <w:rPr>
                <w:rFonts w:asciiTheme="minorHAnsi" w:hAnsiTheme="minorHAnsi"/>
                <w:sz w:val="24"/>
                <w:szCs w:val="24"/>
              </w:rPr>
              <w:t>megszünteti a SZIMSZ-t és minden más, a befektetéssel összefüggő megállapodást, az ún. túlélő rendelkezésekre is kiterjedő hatállyal</w:t>
            </w:r>
            <w:r w:rsidR="00D97C21">
              <w:rPr>
                <w:rFonts w:asciiTheme="minorHAnsi" w:hAnsiTheme="minorHAnsi"/>
                <w:sz w:val="24"/>
                <w:szCs w:val="24"/>
              </w:rPr>
              <w:t>;</w:t>
            </w:r>
          </w:p>
        </w:tc>
        <w:tc>
          <w:tcPr>
            <w:tcW w:w="4606" w:type="dxa"/>
          </w:tcPr>
          <w:p w:rsidR="00925ACD" w:rsidRPr="00781D99" w:rsidRDefault="00925ACD" w:rsidP="00D97C21">
            <w:pPr>
              <w:pStyle w:val="ListParagraph1"/>
              <w:numPr>
                <w:ilvl w:val="0"/>
                <w:numId w:val="16"/>
              </w:numPr>
              <w:spacing w:before="120" w:after="120" w:line="240" w:lineRule="auto"/>
              <w:ind w:left="781" w:hanging="376"/>
              <w:contextualSpacing w:val="0"/>
              <w:jc w:val="both"/>
              <w:rPr>
                <w:rFonts w:asciiTheme="minorHAnsi" w:hAnsiTheme="minorHAnsi"/>
                <w:sz w:val="24"/>
                <w:szCs w:val="24"/>
                <w:lang w:val="en-GB"/>
              </w:rPr>
            </w:pPr>
            <w:r w:rsidRPr="00781D99">
              <w:rPr>
                <w:rFonts w:asciiTheme="minorHAnsi" w:hAnsiTheme="minorHAnsi"/>
                <w:sz w:val="24"/>
                <w:szCs w:val="24"/>
                <w:lang w:val="en-GB"/>
              </w:rPr>
              <w:t>terminate the SZIMSZ and all other related agreements, including their surviving provisions, with mutual consent</w:t>
            </w:r>
            <w:r w:rsidR="00D97C21">
              <w:rPr>
                <w:rFonts w:asciiTheme="minorHAnsi" w:hAnsiTheme="minorHAnsi"/>
                <w:sz w:val="24"/>
                <w:szCs w:val="24"/>
                <w:lang w:val="en-GB"/>
              </w:rPr>
              <w:t>;</w:t>
            </w:r>
          </w:p>
        </w:tc>
      </w:tr>
      <w:tr w:rsidR="00925ACD" w:rsidRPr="00781D99" w:rsidTr="00C058E9">
        <w:tc>
          <w:tcPr>
            <w:tcW w:w="4748" w:type="dxa"/>
          </w:tcPr>
          <w:p w:rsidR="00925ACD" w:rsidRPr="00781D99" w:rsidRDefault="00925ACD" w:rsidP="00C058E9">
            <w:pPr>
              <w:pStyle w:val="ListParagraph1"/>
              <w:numPr>
                <w:ilvl w:val="0"/>
                <w:numId w:val="17"/>
              </w:numPr>
              <w:spacing w:before="120" w:after="120" w:line="240" w:lineRule="auto"/>
              <w:ind w:left="567" w:right="72" w:hanging="283"/>
              <w:contextualSpacing w:val="0"/>
              <w:jc w:val="both"/>
              <w:rPr>
                <w:rFonts w:asciiTheme="minorHAnsi" w:hAnsiTheme="minorHAnsi"/>
                <w:sz w:val="24"/>
                <w:szCs w:val="24"/>
              </w:rPr>
            </w:pPr>
            <w:r w:rsidRPr="00781D99">
              <w:rPr>
                <w:rFonts w:asciiTheme="minorHAnsi" w:hAnsiTheme="minorHAnsi"/>
                <w:sz w:val="24"/>
                <w:szCs w:val="24"/>
              </w:rPr>
              <w:t>az Önkormányzat a Társaságban meglévő részvények több részletben történő megvásárlásával fokozatosan csökkenti a Befektetők részesedését, melynek végén, a Részvény Adásvételi Szerződés keltétől számított legfeljebb két éven belül, teljes egészében kivásárolja a Befektetőket;</w:t>
            </w:r>
          </w:p>
        </w:tc>
        <w:tc>
          <w:tcPr>
            <w:tcW w:w="4606" w:type="dxa"/>
          </w:tcPr>
          <w:p w:rsidR="00925ACD" w:rsidRPr="00781D99" w:rsidRDefault="00925ACD" w:rsidP="00925ACD">
            <w:pPr>
              <w:pStyle w:val="ListParagraph1"/>
              <w:numPr>
                <w:ilvl w:val="0"/>
                <w:numId w:val="16"/>
              </w:numPr>
              <w:spacing w:before="120" w:after="120" w:line="240" w:lineRule="auto"/>
              <w:ind w:left="781" w:hanging="376"/>
              <w:contextualSpacing w:val="0"/>
              <w:jc w:val="both"/>
              <w:rPr>
                <w:rFonts w:asciiTheme="minorHAnsi" w:hAnsiTheme="minorHAnsi"/>
                <w:sz w:val="24"/>
                <w:szCs w:val="24"/>
                <w:lang w:val="en-GB"/>
              </w:rPr>
            </w:pPr>
            <w:r w:rsidRPr="00781D99">
              <w:rPr>
                <w:rFonts w:asciiTheme="minorHAnsi" w:hAnsiTheme="minorHAnsi"/>
                <w:sz w:val="24"/>
                <w:szCs w:val="24"/>
                <w:lang w:val="en-GB"/>
              </w:rPr>
              <w:t xml:space="preserve">the Municipality by purchasing the shares in the Company in several tranches will decrease the Investors’ participation in the Company, by the end of such process, within a maximum of two years of the date of the Share Purchase Agreement, fully buying out the Investors; </w:t>
            </w:r>
          </w:p>
        </w:tc>
      </w:tr>
      <w:tr w:rsidR="00925ACD" w:rsidRPr="00781D99" w:rsidTr="00C058E9">
        <w:tc>
          <w:tcPr>
            <w:tcW w:w="4748" w:type="dxa"/>
          </w:tcPr>
          <w:p w:rsidR="00AD7F1E" w:rsidRPr="00781D99" w:rsidRDefault="00925ACD" w:rsidP="00C058E9">
            <w:pPr>
              <w:pStyle w:val="ListParagraph1"/>
              <w:numPr>
                <w:ilvl w:val="0"/>
                <w:numId w:val="17"/>
              </w:numPr>
              <w:spacing w:before="120" w:after="120" w:line="240" w:lineRule="auto"/>
              <w:ind w:left="567" w:right="72" w:hanging="283"/>
              <w:contextualSpacing w:val="0"/>
              <w:jc w:val="both"/>
              <w:rPr>
                <w:rFonts w:asciiTheme="minorHAnsi" w:hAnsiTheme="minorHAnsi"/>
                <w:sz w:val="24"/>
                <w:szCs w:val="24"/>
              </w:rPr>
            </w:pPr>
            <w:r w:rsidRPr="00781D99">
              <w:rPr>
                <w:rFonts w:asciiTheme="minorHAnsi" w:hAnsiTheme="minorHAnsi"/>
                <w:sz w:val="24"/>
                <w:szCs w:val="24"/>
              </w:rPr>
              <w:t xml:space="preserve">Befektetők a minden év december 31. napján a tulajdonukban levő részvények értéke 10%-ának megfelelő kamatra jogosultak, amelyet az Önkormányzat a következő év január 31-ig köteles megfizetni (kivéve az utolsó kamatfizetést, amely, kétéves időszak lejártát követő egy hónapon belül esedékes). Év közben történő visszavásárlás esetén, a vásárlás napjáig az éves kamat arányos része jár a </w:t>
            </w:r>
            <w:r w:rsidRPr="00781D99">
              <w:rPr>
                <w:rFonts w:asciiTheme="minorHAnsi" w:hAnsiTheme="minorHAnsi"/>
                <w:sz w:val="24"/>
                <w:szCs w:val="24"/>
              </w:rPr>
              <w:lastRenderedPageBreak/>
              <w:t xml:space="preserve">Befektetőknek. A Részvény Adásvételi </w:t>
            </w:r>
            <w:r w:rsidR="0033694F" w:rsidRPr="00781D99">
              <w:rPr>
                <w:rFonts w:asciiTheme="minorHAnsi" w:hAnsiTheme="minorHAnsi"/>
                <w:sz w:val="24"/>
                <w:szCs w:val="24"/>
              </w:rPr>
              <w:t xml:space="preserve">Megállapodás </w:t>
            </w:r>
            <w:r w:rsidRPr="00781D99">
              <w:rPr>
                <w:rFonts w:asciiTheme="minorHAnsi" w:hAnsiTheme="minorHAnsi"/>
                <w:sz w:val="24"/>
                <w:szCs w:val="24"/>
              </w:rPr>
              <w:t>létrejötte után, a Befektetői Részvények után a Befektetőket osztalék nem illeti meg a 2012-es év vonatkozásában és azt követően.</w:t>
            </w:r>
          </w:p>
        </w:tc>
        <w:tc>
          <w:tcPr>
            <w:tcW w:w="4606" w:type="dxa"/>
          </w:tcPr>
          <w:p w:rsidR="00925ACD" w:rsidRPr="00781D99" w:rsidRDefault="00925ACD" w:rsidP="00B014DB">
            <w:pPr>
              <w:pStyle w:val="ListParagraph1"/>
              <w:numPr>
                <w:ilvl w:val="0"/>
                <w:numId w:val="16"/>
              </w:numPr>
              <w:spacing w:before="120" w:after="120" w:line="240" w:lineRule="auto"/>
              <w:ind w:left="781" w:hanging="376"/>
              <w:contextualSpacing w:val="0"/>
              <w:jc w:val="both"/>
              <w:rPr>
                <w:rFonts w:asciiTheme="minorHAnsi" w:hAnsiTheme="minorHAnsi"/>
                <w:sz w:val="24"/>
                <w:szCs w:val="24"/>
                <w:lang w:val="en-GB"/>
              </w:rPr>
            </w:pPr>
            <w:r w:rsidRPr="00781D99">
              <w:rPr>
                <w:rFonts w:asciiTheme="minorHAnsi" w:hAnsiTheme="minorHAnsi"/>
                <w:sz w:val="24"/>
                <w:szCs w:val="24"/>
                <w:lang w:val="en-GB"/>
              </w:rPr>
              <w:lastRenderedPageBreak/>
              <w:t xml:space="preserve">the Investors will be entitled in each year to a 10% interest on the value of the shares they hold on the 31 December of each year, to be payable by the Municipality by 31 January of the following year (except for the last payment of interest, which will be due in one month after the expiry of the 2-year period). In the event of a re-purchase before the year end, the Investors are entitled </w:t>
            </w:r>
            <w:r w:rsidRPr="00781D99">
              <w:rPr>
                <w:rFonts w:asciiTheme="minorHAnsi" w:hAnsiTheme="minorHAnsi"/>
                <w:sz w:val="24"/>
                <w:szCs w:val="24"/>
                <w:lang w:val="en-GB"/>
              </w:rPr>
              <w:lastRenderedPageBreak/>
              <w:t>to receive a pro rata portion of the annual interest, for the period until the date of purchase. After entering into the Share Purchase Agreement, the Investors will not be entitled to receive dividends in respect of 2012 and onwards from the Company on the Investor Shares.</w:t>
            </w:r>
          </w:p>
        </w:tc>
      </w:tr>
      <w:tr w:rsidR="00294DED" w:rsidRPr="00781D99" w:rsidTr="00C058E9">
        <w:tc>
          <w:tcPr>
            <w:tcW w:w="4748" w:type="dxa"/>
          </w:tcPr>
          <w:p w:rsidR="00FA6ADE" w:rsidRPr="00781D99" w:rsidRDefault="00294DED" w:rsidP="00095D08">
            <w:pPr>
              <w:pStyle w:val="ListParagraph1"/>
              <w:numPr>
                <w:ilvl w:val="0"/>
                <w:numId w:val="1"/>
              </w:numPr>
              <w:spacing w:before="120" w:after="120" w:line="240" w:lineRule="auto"/>
              <w:ind w:left="284" w:right="72" w:hanging="284"/>
              <w:contextualSpacing w:val="0"/>
              <w:jc w:val="both"/>
              <w:rPr>
                <w:rFonts w:asciiTheme="minorHAnsi" w:hAnsiTheme="minorHAnsi"/>
                <w:sz w:val="24"/>
                <w:szCs w:val="24"/>
              </w:rPr>
            </w:pPr>
            <w:r w:rsidRPr="00781D99">
              <w:rPr>
                <w:rFonts w:asciiTheme="minorHAnsi" w:hAnsiTheme="minorHAnsi"/>
                <w:sz w:val="24"/>
                <w:szCs w:val="24"/>
              </w:rPr>
              <w:lastRenderedPageBreak/>
              <w:t xml:space="preserve">Az Önkormányzat </w:t>
            </w:r>
            <w:r w:rsidR="009F1CF0" w:rsidRPr="00781D99">
              <w:rPr>
                <w:rFonts w:asciiTheme="minorHAnsi" w:hAnsiTheme="minorHAnsi"/>
                <w:sz w:val="24"/>
                <w:szCs w:val="24"/>
              </w:rPr>
              <w:t xml:space="preserve">(vagy a fentiek szerint kijelölt vevő) </w:t>
            </w:r>
            <w:r w:rsidR="00AF6743" w:rsidRPr="00781D99">
              <w:rPr>
                <w:rFonts w:asciiTheme="minorHAnsi" w:hAnsiTheme="minorHAnsi"/>
                <w:sz w:val="24"/>
                <w:szCs w:val="24"/>
              </w:rPr>
              <w:t>a Részvény Adásvételi Szerződés</w:t>
            </w:r>
            <w:r w:rsidR="007E3CB7" w:rsidRPr="00781D99">
              <w:rPr>
                <w:rFonts w:asciiTheme="minorHAnsi" w:hAnsiTheme="minorHAnsi"/>
                <w:sz w:val="24"/>
                <w:szCs w:val="24"/>
              </w:rPr>
              <w:t xml:space="preserve"> kelté</w:t>
            </w:r>
            <w:r w:rsidR="00E54BDD" w:rsidRPr="00781D99">
              <w:rPr>
                <w:rFonts w:asciiTheme="minorHAnsi" w:hAnsiTheme="minorHAnsi"/>
                <w:sz w:val="24"/>
                <w:szCs w:val="24"/>
              </w:rPr>
              <w:t xml:space="preserve">től számított </w:t>
            </w:r>
            <w:r w:rsidR="007E3CB7" w:rsidRPr="00781D99">
              <w:rPr>
                <w:rFonts w:asciiTheme="minorHAnsi" w:hAnsiTheme="minorHAnsi"/>
                <w:sz w:val="24"/>
                <w:szCs w:val="24"/>
              </w:rPr>
              <w:t>két</w:t>
            </w:r>
            <w:r w:rsidR="00E54BDD" w:rsidRPr="00781D99">
              <w:rPr>
                <w:rFonts w:asciiTheme="minorHAnsi" w:hAnsiTheme="minorHAnsi"/>
                <w:sz w:val="24"/>
                <w:szCs w:val="24"/>
              </w:rPr>
              <w:t xml:space="preserve"> </w:t>
            </w:r>
            <w:r w:rsidRPr="00781D99">
              <w:rPr>
                <w:rFonts w:asciiTheme="minorHAnsi" w:hAnsiTheme="minorHAnsi"/>
                <w:sz w:val="24"/>
                <w:szCs w:val="24"/>
              </w:rPr>
              <w:t xml:space="preserve">éven belül, </w:t>
            </w:r>
            <w:r w:rsidR="00AF6743" w:rsidRPr="00781D99">
              <w:rPr>
                <w:rFonts w:asciiTheme="minorHAnsi" w:hAnsiTheme="minorHAnsi"/>
                <w:sz w:val="24"/>
                <w:szCs w:val="24"/>
              </w:rPr>
              <w:t>köteles</w:t>
            </w:r>
            <w:r w:rsidR="0035405A" w:rsidRPr="00781D99">
              <w:rPr>
                <w:rFonts w:asciiTheme="minorHAnsi" w:hAnsiTheme="minorHAnsi"/>
                <w:sz w:val="24"/>
                <w:szCs w:val="24"/>
              </w:rPr>
              <w:t xml:space="preserve"> a fenti értéknek megfelelő vételáron</w:t>
            </w:r>
            <w:r w:rsidR="00726353" w:rsidRPr="00781D99">
              <w:rPr>
                <w:rFonts w:asciiTheme="minorHAnsi" w:hAnsiTheme="minorHAnsi"/>
                <w:sz w:val="24"/>
                <w:szCs w:val="24"/>
              </w:rPr>
              <w:t xml:space="preserve">, </w:t>
            </w:r>
            <w:r w:rsidRPr="00781D99">
              <w:rPr>
                <w:rFonts w:asciiTheme="minorHAnsi" w:hAnsiTheme="minorHAnsi"/>
                <w:sz w:val="24"/>
                <w:szCs w:val="24"/>
              </w:rPr>
              <w:t xml:space="preserve">a </w:t>
            </w:r>
            <w:r w:rsidR="00726353" w:rsidRPr="00781D99">
              <w:rPr>
                <w:rFonts w:asciiTheme="minorHAnsi" w:hAnsiTheme="minorHAnsi"/>
                <w:sz w:val="24"/>
                <w:szCs w:val="24"/>
              </w:rPr>
              <w:t xml:space="preserve">Befektetői Részvényeket </w:t>
            </w:r>
            <w:r w:rsidR="00E54BDD" w:rsidRPr="00781D99">
              <w:rPr>
                <w:rFonts w:asciiTheme="minorHAnsi" w:hAnsiTheme="minorHAnsi"/>
                <w:sz w:val="24"/>
                <w:szCs w:val="24"/>
              </w:rPr>
              <w:t>meg</w:t>
            </w:r>
            <w:r w:rsidRPr="00781D99">
              <w:rPr>
                <w:rFonts w:asciiTheme="minorHAnsi" w:hAnsiTheme="minorHAnsi"/>
                <w:sz w:val="24"/>
                <w:szCs w:val="24"/>
              </w:rPr>
              <w:t>vásárolni.</w:t>
            </w:r>
            <w:r w:rsidR="00AF6743" w:rsidRPr="00781D99">
              <w:rPr>
                <w:rFonts w:asciiTheme="minorHAnsi" w:hAnsiTheme="minorHAnsi"/>
                <w:sz w:val="24"/>
                <w:szCs w:val="24"/>
              </w:rPr>
              <w:t xml:space="preserve"> Ha a Befektetői Részvények teljes számának megvásárlására nem ke</w:t>
            </w:r>
            <w:r w:rsidR="00413E80" w:rsidRPr="00781D99">
              <w:rPr>
                <w:rFonts w:asciiTheme="minorHAnsi" w:hAnsiTheme="minorHAnsi"/>
                <w:sz w:val="24"/>
                <w:szCs w:val="24"/>
              </w:rPr>
              <w:t>rül sor e határidőre, akkor a Be</w:t>
            </w:r>
            <w:r w:rsidR="00AF6743" w:rsidRPr="00781D99">
              <w:rPr>
                <w:rFonts w:asciiTheme="minorHAnsi" w:hAnsiTheme="minorHAnsi"/>
                <w:sz w:val="24"/>
                <w:szCs w:val="24"/>
              </w:rPr>
              <w:t xml:space="preserve">fektetők jogosultak lesznek a </w:t>
            </w:r>
            <w:smartTag w:uri="urn:schemas-microsoft-com:office:smarttags" w:element="metricconverter">
              <w:smartTagPr>
                <w:attr w:name="ProductID" w:val="4. a"/>
              </w:smartTagPr>
              <w:r w:rsidR="00AF6743" w:rsidRPr="00781D99">
                <w:rPr>
                  <w:rFonts w:asciiTheme="minorHAnsi" w:hAnsiTheme="minorHAnsi"/>
                  <w:sz w:val="24"/>
                  <w:szCs w:val="24"/>
                </w:rPr>
                <w:t>4.</w:t>
              </w:r>
              <w:r w:rsidR="00413E80" w:rsidRPr="00781D99">
                <w:rPr>
                  <w:rFonts w:asciiTheme="minorHAnsi" w:hAnsiTheme="minorHAnsi"/>
                  <w:sz w:val="24"/>
                  <w:szCs w:val="24"/>
                </w:rPr>
                <w:t xml:space="preserve"> </w:t>
              </w:r>
              <w:r w:rsidR="00AF6743" w:rsidRPr="00781D99">
                <w:rPr>
                  <w:rFonts w:asciiTheme="minorHAnsi" w:hAnsiTheme="minorHAnsi"/>
                  <w:sz w:val="24"/>
                  <w:szCs w:val="24"/>
                </w:rPr>
                <w:t>a</w:t>
              </w:r>
            </w:smartTag>
            <w:r w:rsidR="00413E80" w:rsidRPr="00781D99">
              <w:rPr>
                <w:rFonts w:asciiTheme="minorHAnsi" w:hAnsiTheme="minorHAnsi"/>
                <w:sz w:val="24"/>
                <w:szCs w:val="24"/>
              </w:rPr>
              <w:t>)</w:t>
            </w:r>
            <w:r w:rsidR="00AF6743" w:rsidRPr="00781D99">
              <w:rPr>
                <w:rFonts w:asciiTheme="minorHAnsi" w:hAnsiTheme="minorHAnsi"/>
                <w:sz w:val="24"/>
                <w:szCs w:val="24"/>
              </w:rPr>
              <w:t xml:space="preserve"> pontban meghatározott</w:t>
            </w:r>
            <w:r w:rsidR="00E27225" w:rsidRPr="00781D99">
              <w:rPr>
                <w:rFonts w:asciiTheme="minorHAnsi" w:hAnsiTheme="minorHAnsi"/>
                <w:sz w:val="24"/>
                <w:szCs w:val="24"/>
              </w:rPr>
              <w:t>, az ellenérték hátralevő részének megfelelő összegű</w:t>
            </w:r>
            <w:r w:rsidR="00AF6743" w:rsidRPr="00781D99">
              <w:rPr>
                <w:rFonts w:asciiTheme="minorHAnsi" w:hAnsiTheme="minorHAnsi"/>
                <w:sz w:val="24"/>
                <w:szCs w:val="24"/>
              </w:rPr>
              <w:t xml:space="preserve"> bankgaranciát </w:t>
            </w:r>
            <w:r w:rsidR="00413E80" w:rsidRPr="00781D99">
              <w:rPr>
                <w:rFonts w:asciiTheme="minorHAnsi" w:hAnsiTheme="minorHAnsi"/>
                <w:sz w:val="24"/>
                <w:szCs w:val="24"/>
              </w:rPr>
              <w:t>lehívni és kötelesek a maradék Befektetői R</w:t>
            </w:r>
            <w:r w:rsidR="00AF6743" w:rsidRPr="00781D99">
              <w:rPr>
                <w:rFonts w:asciiTheme="minorHAnsi" w:hAnsiTheme="minorHAnsi"/>
                <w:sz w:val="24"/>
                <w:szCs w:val="24"/>
              </w:rPr>
              <w:t>észvényt ezzel egyidejűleg az Önkormányzatra átruházni</w:t>
            </w:r>
            <w:r w:rsidR="008D2460" w:rsidRPr="00781D99">
              <w:rPr>
                <w:rFonts w:asciiTheme="minorHAnsi" w:hAnsiTheme="minorHAnsi"/>
                <w:sz w:val="24"/>
                <w:szCs w:val="24"/>
              </w:rPr>
              <w:t>.</w:t>
            </w:r>
          </w:p>
        </w:tc>
        <w:tc>
          <w:tcPr>
            <w:tcW w:w="4606" w:type="dxa"/>
          </w:tcPr>
          <w:p w:rsidR="00AD7F1E" w:rsidRPr="00781D99" w:rsidRDefault="00C916FA" w:rsidP="00C916FA">
            <w:pPr>
              <w:pStyle w:val="ListParagraph1"/>
              <w:spacing w:before="120" w:after="120" w:line="240" w:lineRule="auto"/>
              <w:ind w:left="0"/>
              <w:contextualSpacing w:val="0"/>
              <w:jc w:val="both"/>
              <w:rPr>
                <w:rFonts w:asciiTheme="minorHAnsi" w:hAnsiTheme="minorHAnsi"/>
                <w:sz w:val="24"/>
                <w:szCs w:val="24"/>
                <w:lang w:val="en-GB"/>
              </w:rPr>
            </w:pPr>
            <w:r w:rsidRPr="00781D99">
              <w:rPr>
                <w:rFonts w:asciiTheme="minorHAnsi" w:hAnsiTheme="minorHAnsi"/>
                <w:sz w:val="24"/>
                <w:szCs w:val="24"/>
                <w:lang w:val="en-GB"/>
              </w:rPr>
              <w:t xml:space="preserve">7. </w:t>
            </w:r>
            <w:r w:rsidR="00E54BDD" w:rsidRPr="00781D99">
              <w:rPr>
                <w:rFonts w:asciiTheme="minorHAnsi" w:hAnsiTheme="minorHAnsi"/>
                <w:sz w:val="24"/>
                <w:szCs w:val="24"/>
                <w:lang w:val="en-GB"/>
              </w:rPr>
              <w:t xml:space="preserve">The Municipality </w:t>
            </w:r>
            <w:r w:rsidR="009F1CF0" w:rsidRPr="00781D99">
              <w:rPr>
                <w:rFonts w:asciiTheme="minorHAnsi" w:hAnsiTheme="minorHAnsi"/>
                <w:sz w:val="24"/>
                <w:szCs w:val="24"/>
                <w:lang w:val="en-GB"/>
              </w:rPr>
              <w:t xml:space="preserve">(or the buyer appointed in accordance with the foregoing) </w:t>
            </w:r>
            <w:r w:rsidR="006352B2" w:rsidRPr="00781D99">
              <w:rPr>
                <w:rFonts w:asciiTheme="minorHAnsi" w:hAnsiTheme="minorHAnsi"/>
                <w:sz w:val="24"/>
                <w:szCs w:val="24"/>
                <w:lang w:val="en-GB"/>
              </w:rPr>
              <w:t>shall</w:t>
            </w:r>
            <w:r w:rsidR="00E54BDD" w:rsidRPr="00781D99">
              <w:rPr>
                <w:rFonts w:asciiTheme="minorHAnsi" w:hAnsiTheme="minorHAnsi"/>
                <w:sz w:val="24"/>
                <w:szCs w:val="24"/>
                <w:lang w:val="en-GB"/>
              </w:rPr>
              <w:t xml:space="preserve"> purchase the Investor Shares within </w:t>
            </w:r>
            <w:r w:rsidR="00F60A80" w:rsidRPr="00781D99">
              <w:rPr>
                <w:rFonts w:asciiTheme="minorHAnsi" w:hAnsiTheme="minorHAnsi"/>
                <w:sz w:val="24"/>
                <w:szCs w:val="24"/>
                <w:lang w:val="en-GB"/>
              </w:rPr>
              <w:t xml:space="preserve">two </w:t>
            </w:r>
            <w:r w:rsidR="00E54BDD" w:rsidRPr="00781D99">
              <w:rPr>
                <w:rFonts w:asciiTheme="minorHAnsi" w:hAnsiTheme="minorHAnsi"/>
                <w:sz w:val="24"/>
                <w:szCs w:val="24"/>
                <w:lang w:val="en-GB"/>
              </w:rPr>
              <w:t xml:space="preserve">years of the date of the </w:t>
            </w:r>
            <w:r w:rsidR="00F60A80" w:rsidRPr="00781D99">
              <w:rPr>
                <w:rFonts w:asciiTheme="minorHAnsi" w:hAnsiTheme="minorHAnsi"/>
                <w:sz w:val="24"/>
                <w:szCs w:val="24"/>
                <w:lang w:val="en-GB"/>
              </w:rPr>
              <w:t xml:space="preserve">Share Purchase </w:t>
            </w:r>
            <w:r w:rsidR="00E54BDD" w:rsidRPr="00781D99">
              <w:rPr>
                <w:rFonts w:asciiTheme="minorHAnsi" w:hAnsiTheme="minorHAnsi"/>
                <w:sz w:val="24"/>
                <w:szCs w:val="24"/>
                <w:lang w:val="en-GB"/>
              </w:rPr>
              <w:t>Agreement</w:t>
            </w:r>
            <w:r w:rsidR="00BC0820" w:rsidRPr="00781D99">
              <w:rPr>
                <w:rFonts w:asciiTheme="minorHAnsi" w:hAnsiTheme="minorHAnsi"/>
                <w:sz w:val="24"/>
                <w:szCs w:val="24"/>
                <w:lang w:val="en-GB"/>
              </w:rPr>
              <w:t xml:space="preserve"> </w:t>
            </w:r>
            <w:r w:rsidR="00E54BDD" w:rsidRPr="00781D99">
              <w:rPr>
                <w:rFonts w:asciiTheme="minorHAnsi" w:hAnsiTheme="minorHAnsi"/>
                <w:sz w:val="24"/>
                <w:szCs w:val="24"/>
                <w:lang w:val="en-GB"/>
              </w:rPr>
              <w:t>at the purchase price calculated in accordance with the value determined above.</w:t>
            </w:r>
            <w:r w:rsidR="006352B2" w:rsidRPr="00781D99">
              <w:rPr>
                <w:rFonts w:asciiTheme="minorHAnsi" w:hAnsiTheme="minorHAnsi"/>
                <w:sz w:val="24"/>
                <w:szCs w:val="24"/>
                <w:lang w:val="en-GB"/>
              </w:rPr>
              <w:t xml:space="preserve"> If the acquisition</w:t>
            </w:r>
            <w:r w:rsidR="00AF6743" w:rsidRPr="00781D99">
              <w:rPr>
                <w:rFonts w:asciiTheme="minorHAnsi" w:hAnsiTheme="minorHAnsi"/>
                <w:sz w:val="24"/>
                <w:szCs w:val="24"/>
                <w:lang w:val="en-GB"/>
              </w:rPr>
              <w:t xml:space="preserve"> of the Investor</w:t>
            </w:r>
            <w:r w:rsidR="006352B2" w:rsidRPr="00781D99">
              <w:rPr>
                <w:rFonts w:asciiTheme="minorHAnsi" w:hAnsiTheme="minorHAnsi"/>
                <w:sz w:val="24"/>
                <w:szCs w:val="24"/>
                <w:lang w:val="en-GB"/>
              </w:rPr>
              <w:t xml:space="preserve"> Shares does not take place in respect of the full number of shares by such deadline, the Investors will be entitled to draw down the bank guarantee </w:t>
            </w:r>
            <w:r w:rsidR="00E27225" w:rsidRPr="00781D99">
              <w:rPr>
                <w:rFonts w:asciiTheme="minorHAnsi" w:hAnsiTheme="minorHAnsi"/>
                <w:sz w:val="24"/>
                <w:szCs w:val="24"/>
                <w:lang w:val="en-GB"/>
              </w:rPr>
              <w:t xml:space="preserve">in the amount of the yet outstanding purchase price, as </w:t>
            </w:r>
            <w:r w:rsidR="006352B2" w:rsidRPr="00781D99">
              <w:rPr>
                <w:rFonts w:asciiTheme="minorHAnsi" w:hAnsiTheme="minorHAnsi"/>
                <w:sz w:val="24"/>
                <w:szCs w:val="24"/>
                <w:lang w:val="en-GB"/>
              </w:rPr>
              <w:t xml:space="preserve">described in section </w:t>
            </w:r>
            <w:smartTag w:uri="urn:schemas-microsoft-com:office:smarttags" w:element="metricconverter">
              <w:smartTagPr>
                <w:attr w:name="ProductID" w:val="4. a"/>
              </w:smartTagPr>
              <w:r w:rsidR="006352B2" w:rsidRPr="00781D99">
                <w:rPr>
                  <w:rFonts w:asciiTheme="minorHAnsi" w:hAnsiTheme="minorHAnsi"/>
                  <w:sz w:val="24"/>
                  <w:szCs w:val="24"/>
                  <w:lang w:val="en-GB"/>
                </w:rPr>
                <w:t>4. a</w:t>
              </w:r>
            </w:smartTag>
            <w:r w:rsidR="006352B2" w:rsidRPr="00781D99">
              <w:rPr>
                <w:rFonts w:asciiTheme="minorHAnsi" w:hAnsiTheme="minorHAnsi"/>
                <w:sz w:val="24"/>
                <w:szCs w:val="24"/>
                <w:lang w:val="en-GB"/>
              </w:rPr>
              <w:t>) above</w:t>
            </w:r>
            <w:r w:rsidR="00E27225" w:rsidRPr="00781D99">
              <w:rPr>
                <w:rFonts w:asciiTheme="minorHAnsi" w:hAnsiTheme="minorHAnsi"/>
                <w:sz w:val="24"/>
                <w:szCs w:val="24"/>
                <w:lang w:val="en-GB"/>
              </w:rPr>
              <w:t>,</w:t>
            </w:r>
            <w:r w:rsidR="006352B2" w:rsidRPr="00781D99">
              <w:rPr>
                <w:rFonts w:asciiTheme="minorHAnsi" w:hAnsiTheme="minorHAnsi"/>
                <w:sz w:val="24"/>
                <w:szCs w:val="24"/>
                <w:lang w:val="en-GB"/>
              </w:rPr>
              <w:t xml:space="preserve"> and shall simultaneously transfer the remaining Investor Shares to the Municipality.</w:t>
            </w:r>
          </w:p>
        </w:tc>
      </w:tr>
      <w:tr w:rsidR="00925ACD" w:rsidRPr="00781D99" w:rsidTr="00C058E9">
        <w:tc>
          <w:tcPr>
            <w:tcW w:w="4748" w:type="dxa"/>
          </w:tcPr>
          <w:p w:rsidR="00FA6ADE" w:rsidRPr="00781D99" w:rsidRDefault="00925ACD" w:rsidP="00D97C21">
            <w:pPr>
              <w:pStyle w:val="ListParagraph1"/>
              <w:numPr>
                <w:ilvl w:val="0"/>
                <w:numId w:val="1"/>
              </w:numPr>
              <w:tabs>
                <w:tab w:val="left" w:pos="510"/>
              </w:tabs>
              <w:spacing w:before="120" w:after="120" w:line="240" w:lineRule="auto"/>
              <w:ind w:left="284" w:right="72" w:hanging="284"/>
              <w:contextualSpacing w:val="0"/>
              <w:jc w:val="both"/>
              <w:rPr>
                <w:rFonts w:asciiTheme="minorHAnsi" w:hAnsiTheme="minorHAnsi"/>
                <w:sz w:val="24"/>
                <w:szCs w:val="24"/>
              </w:rPr>
            </w:pPr>
            <w:r w:rsidRPr="00781D99">
              <w:rPr>
                <w:rFonts w:asciiTheme="minorHAnsi" w:hAnsiTheme="minorHAnsi"/>
                <w:sz w:val="24"/>
                <w:szCs w:val="24"/>
              </w:rPr>
              <w:t xml:space="preserve">Az Önkormányzat az FVM irányítását és kontrollját </w:t>
            </w:r>
            <w:r w:rsidR="00F60F46" w:rsidRPr="00781D99">
              <w:rPr>
                <w:rFonts w:asciiTheme="minorHAnsi" w:hAnsiTheme="minorHAnsi"/>
                <w:sz w:val="24"/>
                <w:szCs w:val="24"/>
              </w:rPr>
              <w:t>a 2011-es éves pénzügyi beszámolóban bemutatott állapotban veszi át.</w:t>
            </w:r>
            <w:r w:rsidR="008A5EEB" w:rsidRPr="00781D99">
              <w:rPr>
                <w:rFonts w:asciiTheme="minorHAnsi" w:hAnsiTheme="minorHAnsi"/>
                <w:sz w:val="24"/>
                <w:szCs w:val="24"/>
              </w:rPr>
              <w:t xml:space="preserve"> Figyelemmel arra, hogy a SziMSz alapján a Befektetők feleltek az FVM ügyvezetéséért</w:t>
            </w:r>
            <w:r w:rsidR="00431AAD">
              <w:rPr>
                <w:rFonts w:asciiTheme="minorHAnsi" w:hAnsiTheme="minorHAnsi"/>
                <w:sz w:val="24"/>
                <w:szCs w:val="24"/>
              </w:rPr>
              <w:t>,</w:t>
            </w:r>
            <w:r w:rsidR="00351817" w:rsidRPr="00781D99">
              <w:rPr>
                <w:rFonts w:asciiTheme="minorHAnsi" w:hAnsiTheme="minorHAnsi"/>
                <w:sz w:val="24"/>
                <w:szCs w:val="24"/>
              </w:rPr>
              <w:t xml:space="preserve"> a Befektetők kijelentik és szavatolják, hogy</w:t>
            </w:r>
            <w:r w:rsidR="00C916FA" w:rsidRPr="00781D99">
              <w:rPr>
                <w:rFonts w:asciiTheme="minorHAnsi" w:hAnsiTheme="minorHAnsi"/>
                <w:sz w:val="24"/>
                <w:szCs w:val="24"/>
              </w:rPr>
              <w:t xml:space="preserve"> (i)</w:t>
            </w:r>
            <w:r w:rsidR="00351817" w:rsidRPr="00781D99">
              <w:rPr>
                <w:rFonts w:asciiTheme="minorHAnsi" w:hAnsiTheme="minorHAnsi"/>
                <w:sz w:val="24"/>
                <w:szCs w:val="24"/>
              </w:rPr>
              <w:t xml:space="preserve"> a Befektetők a befektetési időszak alatt, az irányítás átadásáig teljesítették valamennyi kötelezettségüket, amely a Projekt Dokumentumokból, illetve a releváns jogszabályokból fakad, </w:t>
            </w:r>
            <w:r w:rsidR="00C916FA" w:rsidRPr="00781D99">
              <w:rPr>
                <w:rFonts w:asciiTheme="minorHAnsi" w:hAnsiTheme="minorHAnsi"/>
                <w:sz w:val="24"/>
                <w:szCs w:val="24"/>
              </w:rPr>
              <w:t xml:space="preserve">(ii) </w:t>
            </w:r>
            <w:r w:rsidR="00B15ECE" w:rsidRPr="00781D99">
              <w:rPr>
                <w:rFonts w:asciiTheme="minorHAnsi" w:hAnsiTheme="minorHAnsi"/>
                <w:sz w:val="24"/>
                <w:szCs w:val="24"/>
              </w:rPr>
              <w:t xml:space="preserve">az FVM-et az irányadó jogszabályoknak és iparági szabványoknak, valamint a SziMSZ rendelkezéseinek megfelelően menedzselték, </w:t>
            </w:r>
            <w:r w:rsidR="009F1CF0" w:rsidRPr="00781D99">
              <w:rPr>
                <w:rFonts w:asciiTheme="minorHAnsi" w:hAnsiTheme="minorHAnsi"/>
                <w:sz w:val="24"/>
                <w:szCs w:val="24"/>
              </w:rPr>
              <w:t xml:space="preserve">és </w:t>
            </w:r>
            <w:r w:rsidR="00B15ECE" w:rsidRPr="00781D99">
              <w:rPr>
                <w:rFonts w:asciiTheme="minorHAnsi" w:hAnsiTheme="minorHAnsi"/>
                <w:sz w:val="24"/>
                <w:szCs w:val="24"/>
              </w:rPr>
              <w:t>(</w:t>
            </w:r>
            <w:r w:rsidR="00C916FA" w:rsidRPr="00781D99">
              <w:rPr>
                <w:rFonts w:asciiTheme="minorHAnsi" w:hAnsiTheme="minorHAnsi"/>
                <w:sz w:val="24"/>
                <w:szCs w:val="24"/>
              </w:rPr>
              <w:t>iii</w:t>
            </w:r>
            <w:r w:rsidR="00B15ECE" w:rsidRPr="00781D99">
              <w:rPr>
                <w:rFonts w:asciiTheme="minorHAnsi" w:hAnsiTheme="minorHAnsi"/>
                <w:sz w:val="24"/>
                <w:szCs w:val="24"/>
              </w:rPr>
              <w:t xml:space="preserve">) a Társaság feletti menedzsment-jogok átadásának idején, az FVM eszközei (így különösen az infrastruktúra, az FVM tulajdonában vagy a fenntartásában álló vízvezeték-hálózat) jó működőképes állapotban vannak, az irányadó jogszabályoknak és </w:t>
            </w:r>
            <w:r w:rsidR="00B15ECE" w:rsidRPr="00781D99">
              <w:rPr>
                <w:rFonts w:asciiTheme="minorHAnsi" w:hAnsiTheme="minorHAnsi"/>
                <w:sz w:val="24"/>
                <w:szCs w:val="24"/>
              </w:rPr>
              <w:lastRenderedPageBreak/>
              <w:t>szabályozásoknak, ipari szabványoknak és a jó ipari gyakorlatnak megfelelően karbantartva.</w:t>
            </w:r>
          </w:p>
        </w:tc>
        <w:tc>
          <w:tcPr>
            <w:tcW w:w="4606" w:type="dxa"/>
          </w:tcPr>
          <w:p w:rsidR="00AD7F1E" w:rsidRPr="00781D99" w:rsidRDefault="009F1CF0" w:rsidP="00D97C21">
            <w:pPr>
              <w:pStyle w:val="ListParagraph1"/>
              <w:spacing w:before="120" w:after="120" w:line="240" w:lineRule="auto"/>
              <w:ind w:left="72"/>
              <w:contextualSpacing w:val="0"/>
              <w:jc w:val="both"/>
              <w:rPr>
                <w:rFonts w:asciiTheme="minorHAnsi" w:hAnsiTheme="minorHAnsi"/>
                <w:sz w:val="24"/>
                <w:szCs w:val="24"/>
                <w:lang w:val="en-GB"/>
              </w:rPr>
            </w:pPr>
            <w:r w:rsidRPr="00781D99">
              <w:rPr>
                <w:rFonts w:asciiTheme="minorHAnsi" w:hAnsiTheme="minorHAnsi"/>
                <w:sz w:val="24"/>
                <w:szCs w:val="24"/>
                <w:lang w:val="en-GB"/>
              </w:rPr>
              <w:lastRenderedPageBreak/>
              <w:t xml:space="preserve">8. </w:t>
            </w:r>
            <w:r w:rsidR="00925ACD" w:rsidRPr="00781D99">
              <w:rPr>
                <w:rFonts w:asciiTheme="minorHAnsi" w:hAnsiTheme="minorHAnsi"/>
                <w:sz w:val="24"/>
                <w:szCs w:val="24"/>
                <w:lang w:val="en-GB"/>
              </w:rPr>
              <w:t xml:space="preserve">The Municipality will take over the management and control of FVM </w:t>
            </w:r>
            <w:r w:rsidR="00E578C7" w:rsidRPr="00781D99">
              <w:rPr>
                <w:rFonts w:asciiTheme="minorHAnsi" w:hAnsiTheme="minorHAnsi"/>
                <w:sz w:val="24"/>
                <w:szCs w:val="24"/>
                <w:lang w:val="en-GB"/>
              </w:rPr>
              <w:t xml:space="preserve">as it is presented in the FY2011 annual financial statement. Considering that the further to the SziMSz Agreement, the Investors were responsible for the management of FVM, </w:t>
            </w:r>
            <w:r w:rsidR="00925ACD" w:rsidRPr="00781D99">
              <w:rPr>
                <w:rFonts w:asciiTheme="minorHAnsi" w:hAnsiTheme="minorHAnsi"/>
                <w:sz w:val="24"/>
                <w:szCs w:val="24"/>
                <w:lang w:val="en-GB"/>
              </w:rPr>
              <w:t xml:space="preserve">the Investors will represent and warrant  </w:t>
            </w:r>
            <w:r w:rsidR="00723686" w:rsidRPr="00781D99">
              <w:rPr>
                <w:rFonts w:asciiTheme="minorHAnsi" w:hAnsiTheme="minorHAnsi"/>
                <w:sz w:val="24"/>
                <w:szCs w:val="24"/>
                <w:lang w:val="en-GB"/>
              </w:rPr>
              <w:t xml:space="preserve">that </w:t>
            </w:r>
            <w:r w:rsidR="001C4266" w:rsidRPr="00781D99">
              <w:rPr>
                <w:rFonts w:asciiTheme="minorHAnsi" w:hAnsiTheme="minorHAnsi"/>
                <w:sz w:val="24"/>
                <w:szCs w:val="24"/>
                <w:lang w:val="en-GB"/>
              </w:rPr>
              <w:t xml:space="preserve">(i) </w:t>
            </w:r>
            <w:r w:rsidRPr="00781D99">
              <w:rPr>
                <w:rFonts w:asciiTheme="minorHAnsi" w:hAnsiTheme="minorHAnsi"/>
                <w:sz w:val="24"/>
                <w:szCs w:val="24"/>
                <w:lang w:val="en-GB"/>
              </w:rPr>
              <w:t xml:space="preserve">the Investors performed all of their obligations as per the Project Documents and complied with all applicable laws during the term of the investment, up to the handing over of the management, (ii) </w:t>
            </w:r>
            <w:r w:rsidR="001C4266" w:rsidRPr="00781D99">
              <w:rPr>
                <w:rFonts w:asciiTheme="minorHAnsi" w:hAnsiTheme="minorHAnsi"/>
                <w:sz w:val="24"/>
                <w:szCs w:val="24"/>
                <w:lang w:val="en-GB"/>
              </w:rPr>
              <w:t>FVM has been managed in accordance with the relevant laws and industry standards, and the provisions of the SziMSz Agreement, and (i</w:t>
            </w:r>
            <w:r w:rsidRPr="00781D99">
              <w:rPr>
                <w:rFonts w:asciiTheme="minorHAnsi" w:hAnsiTheme="minorHAnsi"/>
                <w:sz w:val="24"/>
                <w:szCs w:val="24"/>
                <w:lang w:val="en-GB"/>
              </w:rPr>
              <w:t>i</w:t>
            </w:r>
            <w:r w:rsidR="001C4266" w:rsidRPr="00781D99">
              <w:rPr>
                <w:rFonts w:asciiTheme="minorHAnsi" w:hAnsiTheme="minorHAnsi"/>
                <w:sz w:val="24"/>
                <w:szCs w:val="24"/>
                <w:lang w:val="en-GB"/>
              </w:rPr>
              <w:t xml:space="preserve">i) as at the transfer of the management rights over the Company, the assets of FVM (especially, the infrastructure, the water supply pipeline network, owned or otherwise maintained by FVM) are in good working order, properly maintained in accordance with applicable laws and </w:t>
            </w:r>
            <w:r w:rsidR="001C4266" w:rsidRPr="00781D99">
              <w:rPr>
                <w:rFonts w:asciiTheme="minorHAnsi" w:hAnsiTheme="minorHAnsi"/>
                <w:sz w:val="24"/>
                <w:szCs w:val="24"/>
                <w:lang w:val="en-GB"/>
              </w:rPr>
              <w:lastRenderedPageBreak/>
              <w:t>regulations, industry standards and good industry practices</w:t>
            </w:r>
            <w:r w:rsidR="00925ACD" w:rsidRPr="00781D99">
              <w:rPr>
                <w:rFonts w:asciiTheme="minorHAnsi" w:hAnsiTheme="minorHAnsi"/>
                <w:sz w:val="24"/>
                <w:szCs w:val="24"/>
                <w:lang w:val="en-GB"/>
              </w:rPr>
              <w:t xml:space="preserve">. </w:t>
            </w:r>
          </w:p>
        </w:tc>
      </w:tr>
      <w:tr w:rsidR="00C058E9" w:rsidRPr="00781D99" w:rsidTr="00C058E9">
        <w:tc>
          <w:tcPr>
            <w:tcW w:w="4748" w:type="dxa"/>
          </w:tcPr>
          <w:p w:rsidR="00FA6ADE" w:rsidRPr="00781D99" w:rsidRDefault="00C058E9" w:rsidP="00095D08">
            <w:pPr>
              <w:pStyle w:val="ListParagraph1"/>
              <w:numPr>
                <w:ilvl w:val="0"/>
                <w:numId w:val="1"/>
              </w:numPr>
              <w:tabs>
                <w:tab w:val="left" w:pos="510"/>
              </w:tabs>
              <w:spacing w:before="120" w:after="120" w:line="240" w:lineRule="auto"/>
              <w:ind w:left="284" w:right="72" w:hanging="284"/>
              <w:contextualSpacing w:val="0"/>
              <w:jc w:val="both"/>
              <w:rPr>
                <w:rFonts w:asciiTheme="minorHAnsi" w:hAnsiTheme="minorHAnsi"/>
                <w:sz w:val="24"/>
                <w:szCs w:val="24"/>
              </w:rPr>
            </w:pPr>
            <w:r w:rsidRPr="00781D99">
              <w:rPr>
                <w:rFonts w:asciiTheme="minorHAnsi" w:hAnsiTheme="minorHAnsi"/>
                <w:sz w:val="24"/>
                <w:szCs w:val="24"/>
              </w:rPr>
              <w:lastRenderedPageBreak/>
              <w:t xml:space="preserve">Az Önkormányzat, </w:t>
            </w:r>
            <w:r w:rsidR="00095D08">
              <w:rPr>
                <w:rFonts w:asciiTheme="minorHAnsi" w:hAnsiTheme="minorHAnsi"/>
                <w:sz w:val="24"/>
                <w:szCs w:val="24"/>
              </w:rPr>
              <w:t>saját belátása szerint</w:t>
            </w:r>
            <w:r w:rsidRPr="00781D99">
              <w:rPr>
                <w:rFonts w:asciiTheme="minorHAnsi" w:hAnsiTheme="minorHAnsi"/>
                <w:sz w:val="24"/>
                <w:szCs w:val="24"/>
              </w:rPr>
              <w:t xml:space="preserve"> dönthet úgy, hogy elvégzi a Társaság átvilágítását mielőtt megköti a Megszüntetési Megállapodást, illetve a Részvény Adásvételi Szerződést.</w:t>
            </w:r>
            <w:r w:rsidR="00973574" w:rsidRPr="00781D99">
              <w:rPr>
                <w:rFonts w:asciiTheme="minorHAnsi" w:hAnsiTheme="minorHAnsi"/>
                <w:sz w:val="24"/>
                <w:szCs w:val="24"/>
              </w:rPr>
              <w:t xml:space="preserve"> A Befeketők, ennek segítése céljából, jóhiszeműen felt</w:t>
            </w:r>
            <w:r w:rsidR="00095D08">
              <w:rPr>
                <w:rFonts w:asciiTheme="minorHAnsi" w:hAnsiTheme="minorHAnsi"/>
                <w:sz w:val="24"/>
                <w:szCs w:val="24"/>
              </w:rPr>
              <w:t>á</w:t>
            </w:r>
            <w:r w:rsidR="00973574" w:rsidRPr="00781D99">
              <w:rPr>
                <w:rFonts w:asciiTheme="minorHAnsi" w:hAnsiTheme="minorHAnsi"/>
                <w:sz w:val="24"/>
                <w:szCs w:val="24"/>
              </w:rPr>
              <w:t>rják</w:t>
            </w:r>
            <w:r w:rsidR="00095D08">
              <w:rPr>
                <w:rFonts w:asciiTheme="minorHAnsi" w:hAnsiTheme="minorHAnsi"/>
                <w:sz w:val="24"/>
                <w:szCs w:val="24"/>
              </w:rPr>
              <w:t xml:space="preserve"> </w:t>
            </w:r>
            <w:r w:rsidR="00973574" w:rsidRPr="00781D99">
              <w:rPr>
                <w:rFonts w:asciiTheme="minorHAnsi" w:hAnsiTheme="minorHAnsi"/>
                <w:sz w:val="24"/>
                <w:szCs w:val="24"/>
              </w:rPr>
              <w:t>minda</w:t>
            </w:r>
            <w:r w:rsidR="00095D08">
              <w:rPr>
                <w:rFonts w:asciiTheme="minorHAnsi" w:hAnsiTheme="minorHAnsi"/>
                <w:sz w:val="24"/>
                <w:szCs w:val="24"/>
              </w:rPr>
              <w:t>z</w:t>
            </w:r>
            <w:r w:rsidR="00973574" w:rsidRPr="00781D99">
              <w:rPr>
                <w:rFonts w:asciiTheme="minorHAnsi" w:hAnsiTheme="minorHAnsi"/>
                <w:sz w:val="24"/>
                <w:szCs w:val="24"/>
              </w:rPr>
              <w:t>t az információt, jelentést, tanulmányt, amit ők maguk szereztek be az elmúlt 18 ónapban a társaság tényleges állapotának jobb megismerése céljából</w:t>
            </w:r>
            <w:r w:rsidR="00095D08">
              <w:rPr>
                <w:rFonts w:asciiTheme="minorHAnsi" w:hAnsiTheme="minorHAnsi"/>
                <w:sz w:val="24"/>
                <w:szCs w:val="24"/>
              </w:rPr>
              <w:t>, valamint</w:t>
            </w:r>
            <w:r w:rsidR="00973574" w:rsidRPr="00781D99">
              <w:rPr>
                <w:rFonts w:asciiTheme="minorHAnsi" w:hAnsiTheme="minorHAnsi"/>
                <w:sz w:val="24"/>
                <w:szCs w:val="24"/>
              </w:rPr>
              <w:t xml:space="preserve"> azokat a nemzetközi elemző összehasonlításokat (benchmark) is, amelyekre a társaság kiváló állapotával kapcsolatos véleményüket alapozzák. A jövőben csak a</w:t>
            </w:r>
            <w:r w:rsidR="000027C9">
              <w:rPr>
                <w:rFonts w:asciiTheme="minorHAnsi" w:hAnsiTheme="minorHAnsi"/>
                <w:sz w:val="24"/>
                <w:szCs w:val="24"/>
              </w:rPr>
              <w:t>z Önkormányzat vagy a tényleges</w:t>
            </w:r>
            <w:r w:rsidR="00973574" w:rsidRPr="00781D99">
              <w:rPr>
                <w:rFonts w:asciiTheme="minorHAnsi" w:hAnsiTheme="minorHAnsi"/>
                <w:sz w:val="24"/>
                <w:szCs w:val="24"/>
              </w:rPr>
              <w:t xml:space="preserve"> vevő előtt az átvilágítás során feltárt információkra hi</w:t>
            </w:r>
            <w:r w:rsidR="000027C9">
              <w:rPr>
                <w:rFonts w:asciiTheme="minorHAnsi" w:hAnsiTheme="minorHAnsi"/>
                <w:sz w:val="24"/>
                <w:szCs w:val="24"/>
              </w:rPr>
              <w:t>v</w:t>
            </w:r>
            <w:r w:rsidR="00973574" w:rsidRPr="00781D99">
              <w:rPr>
                <w:rFonts w:asciiTheme="minorHAnsi" w:hAnsiTheme="minorHAnsi"/>
                <w:sz w:val="24"/>
                <w:szCs w:val="24"/>
              </w:rPr>
              <w:t xml:space="preserve">atkozhatnak. </w:t>
            </w:r>
          </w:p>
        </w:tc>
        <w:tc>
          <w:tcPr>
            <w:tcW w:w="4606" w:type="dxa"/>
          </w:tcPr>
          <w:p w:rsidR="00C058E9" w:rsidRPr="00781D99" w:rsidRDefault="00095D08" w:rsidP="00095D08">
            <w:pPr>
              <w:pStyle w:val="ListParagraph1"/>
              <w:spacing w:before="120" w:after="120" w:line="240" w:lineRule="auto"/>
              <w:ind w:left="72"/>
              <w:contextualSpacing w:val="0"/>
              <w:jc w:val="both"/>
              <w:rPr>
                <w:rFonts w:asciiTheme="minorHAnsi" w:hAnsiTheme="minorHAnsi"/>
                <w:sz w:val="24"/>
                <w:szCs w:val="24"/>
                <w:lang w:val="en-GB"/>
              </w:rPr>
            </w:pPr>
            <w:r>
              <w:rPr>
                <w:rFonts w:asciiTheme="minorHAnsi" w:hAnsiTheme="minorHAnsi"/>
                <w:sz w:val="24"/>
                <w:szCs w:val="24"/>
                <w:lang w:val="en-GB"/>
              </w:rPr>
              <w:t xml:space="preserve">10. </w:t>
            </w:r>
            <w:r w:rsidR="00C058E9" w:rsidRPr="00781D99">
              <w:rPr>
                <w:rFonts w:asciiTheme="minorHAnsi" w:hAnsiTheme="minorHAnsi"/>
                <w:sz w:val="24"/>
                <w:szCs w:val="24"/>
                <w:lang w:val="en-GB"/>
              </w:rPr>
              <w:t xml:space="preserve">The Municipality </w:t>
            </w:r>
            <w:r>
              <w:rPr>
                <w:rFonts w:asciiTheme="minorHAnsi" w:hAnsiTheme="minorHAnsi"/>
                <w:sz w:val="24"/>
                <w:szCs w:val="24"/>
                <w:lang w:val="en-GB"/>
              </w:rPr>
              <w:t xml:space="preserve">may </w:t>
            </w:r>
            <w:r w:rsidR="00C058E9" w:rsidRPr="00781D99">
              <w:rPr>
                <w:rFonts w:asciiTheme="minorHAnsi" w:hAnsiTheme="minorHAnsi"/>
                <w:sz w:val="24"/>
                <w:szCs w:val="24"/>
                <w:lang w:val="en-GB"/>
              </w:rPr>
              <w:t xml:space="preserve">at its sole discretion decide to perform a due diligence </w:t>
            </w:r>
            <w:r>
              <w:rPr>
                <w:rFonts w:asciiTheme="minorHAnsi" w:hAnsiTheme="minorHAnsi"/>
                <w:sz w:val="24"/>
                <w:szCs w:val="24"/>
                <w:lang w:val="en-GB"/>
              </w:rPr>
              <w:t xml:space="preserve">review </w:t>
            </w:r>
            <w:r w:rsidR="00C058E9" w:rsidRPr="00781D99">
              <w:rPr>
                <w:rFonts w:asciiTheme="minorHAnsi" w:hAnsiTheme="minorHAnsi"/>
                <w:sz w:val="24"/>
                <w:szCs w:val="24"/>
                <w:lang w:val="en-GB"/>
              </w:rPr>
              <w:t>in respect of the Company before concluding the Settlement Agreement and the Share Purchase Agreement.</w:t>
            </w:r>
            <w:r>
              <w:rPr>
                <w:rFonts w:asciiTheme="minorHAnsi" w:hAnsiTheme="minorHAnsi"/>
                <w:sz w:val="24"/>
                <w:szCs w:val="24"/>
                <w:lang w:val="en-GB"/>
              </w:rPr>
              <w:t xml:space="preserve"> In order to assist the Municipality, the Investors will disclose in good faith all information, reports and studies, which they themselves obtained in the past 18 month to better understand that actual position of the company, as well as such international benchmarks, on which they based their opinion as to excellent s</w:t>
            </w:r>
            <w:r w:rsidR="000027C9">
              <w:rPr>
                <w:rFonts w:asciiTheme="minorHAnsi" w:hAnsiTheme="minorHAnsi"/>
                <w:sz w:val="24"/>
                <w:szCs w:val="24"/>
                <w:lang w:val="en-GB"/>
              </w:rPr>
              <w:t>tanding of the company. In the future they may only rely on such information which was disclosed to the Municipality or the actual buyer within the due diligence review process.</w:t>
            </w:r>
          </w:p>
        </w:tc>
      </w:tr>
      <w:tr w:rsidR="00294DED" w:rsidRPr="00781D99" w:rsidTr="00C058E9">
        <w:tc>
          <w:tcPr>
            <w:tcW w:w="4748" w:type="dxa"/>
          </w:tcPr>
          <w:p w:rsidR="00CB4240" w:rsidRPr="00781D99" w:rsidRDefault="00294DED" w:rsidP="00C058E9">
            <w:pPr>
              <w:pStyle w:val="ListParagraph1"/>
              <w:numPr>
                <w:ilvl w:val="0"/>
                <w:numId w:val="1"/>
              </w:numPr>
              <w:tabs>
                <w:tab w:val="left" w:pos="510"/>
              </w:tabs>
              <w:spacing w:before="120" w:after="120" w:line="240" w:lineRule="auto"/>
              <w:ind w:left="284" w:right="72" w:hanging="284"/>
              <w:contextualSpacing w:val="0"/>
              <w:jc w:val="both"/>
              <w:rPr>
                <w:rFonts w:asciiTheme="minorHAnsi" w:hAnsiTheme="minorHAnsi"/>
                <w:sz w:val="24"/>
                <w:szCs w:val="24"/>
              </w:rPr>
            </w:pPr>
            <w:r w:rsidRPr="00781D99">
              <w:rPr>
                <w:rFonts w:asciiTheme="minorHAnsi" w:hAnsiTheme="minorHAnsi"/>
                <w:sz w:val="24"/>
                <w:szCs w:val="24"/>
              </w:rPr>
              <w:t xml:space="preserve">A Befektetők a </w:t>
            </w:r>
            <w:r w:rsidR="00801C13" w:rsidRPr="00781D99">
              <w:rPr>
                <w:rFonts w:asciiTheme="minorHAnsi" w:hAnsiTheme="minorHAnsi"/>
                <w:sz w:val="24"/>
                <w:szCs w:val="24"/>
              </w:rPr>
              <w:t>jelen S</w:t>
            </w:r>
            <w:r w:rsidR="00542B70" w:rsidRPr="00781D99">
              <w:rPr>
                <w:rFonts w:asciiTheme="minorHAnsi" w:hAnsiTheme="minorHAnsi"/>
                <w:sz w:val="24"/>
                <w:szCs w:val="24"/>
              </w:rPr>
              <w:t xml:space="preserve">zándéknyilatkozat keltétől </w:t>
            </w:r>
            <w:r w:rsidR="00B17B98" w:rsidRPr="00781D99">
              <w:rPr>
                <w:rFonts w:asciiTheme="minorHAnsi" w:hAnsiTheme="minorHAnsi"/>
                <w:sz w:val="24"/>
                <w:szCs w:val="24"/>
              </w:rPr>
              <w:t>az irányítás á</w:t>
            </w:r>
            <w:r w:rsidR="00801C13" w:rsidRPr="00781D99">
              <w:rPr>
                <w:rFonts w:asciiTheme="minorHAnsi" w:hAnsiTheme="minorHAnsi"/>
                <w:sz w:val="24"/>
                <w:szCs w:val="24"/>
              </w:rPr>
              <w:t>tvétele napjáig</w:t>
            </w:r>
            <w:r w:rsidR="00764396" w:rsidRPr="00781D99">
              <w:rPr>
                <w:rFonts w:asciiTheme="minorHAnsi" w:hAnsiTheme="minorHAnsi"/>
                <w:sz w:val="24"/>
                <w:szCs w:val="24"/>
              </w:rPr>
              <w:t xml:space="preserve"> biztosítják a Társaság működését a </w:t>
            </w:r>
            <w:r w:rsidRPr="00781D99">
              <w:rPr>
                <w:rFonts w:asciiTheme="minorHAnsi" w:hAnsiTheme="minorHAnsi"/>
                <w:sz w:val="24"/>
                <w:szCs w:val="24"/>
              </w:rPr>
              <w:t>rendes üzletmenet</w:t>
            </w:r>
            <w:r w:rsidR="00B17B98" w:rsidRPr="00781D99">
              <w:rPr>
                <w:rFonts w:asciiTheme="minorHAnsi" w:hAnsiTheme="minorHAnsi"/>
                <w:sz w:val="24"/>
                <w:szCs w:val="24"/>
              </w:rPr>
              <w:t xml:space="preserve"> szerint</w:t>
            </w:r>
            <w:r w:rsidR="0082415A" w:rsidRPr="00781D99">
              <w:rPr>
                <w:rFonts w:asciiTheme="minorHAnsi" w:hAnsiTheme="minorHAnsi"/>
                <w:sz w:val="24"/>
                <w:szCs w:val="24"/>
              </w:rPr>
              <w:t xml:space="preserve"> a 2012-es üzleti terv szerint</w:t>
            </w:r>
            <w:r w:rsidR="00B17B98" w:rsidRPr="00781D99">
              <w:rPr>
                <w:rFonts w:asciiTheme="minorHAnsi" w:hAnsiTheme="minorHAnsi"/>
                <w:sz w:val="24"/>
                <w:szCs w:val="24"/>
              </w:rPr>
              <w:t>.</w:t>
            </w:r>
          </w:p>
        </w:tc>
        <w:tc>
          <w:tcPr>
            <w:tcW w:w="4606" w:type="dxa"/>
          </w:tcPr>
          <w:p w:rsidR="00AD7F1E" w:rsidRPr="00781D99" w:rsidRDefault="009F1CF0" w:rsidP="009F1CF0">
            <w:pPr>
              <w:pStyle w:val="ListParagraph1"/>
              <w:spacing w:before="120" w:after="120" w:line="240" w:lineRule="auto"/>
              <w:ind w:left="72"/>
              <w:contextualSpacing w:val="0"/>
              <w:jc w:val="both"/>
              <w:rPr>
                <w:rFonts w:asciiTheme="minorHAnsi" w:hAnsiTheme="minorHAnsi"/>
                <w:sz w:val="24"/>
                <w:szCs w:val="24"/>
                <w:lang w:val="en-GB"/>
              </w:rPr>
            </w:pPr>
            <w:r w:rsidRPr="00781D99">
              <w:rPr>
                <w:rFonts w:asciiTheme="minorHAnsi" w:hAnsiTheme="minorHAnsi"/>
                <w:sz w:val="24"/>
                <w:szCs w:val="24"/>
                <w:lang w:val="en-GB"/>
              </w:rPr>
              <w:t xml:space="preserve">9. </w:t>
            </w:r>
            <w:r w:rsidR="00294DED" w:rsidRPr="00781D99">
              <w:rPr>
                <w:rFonts w:asciiTheme="minorHAnsi" w:hAnsiTheme="minorHAnsi"/>
                <w:sz w:val="24"/>
                <w:szCs w:val="24"/>
                <w:lang w:val="en-GB"/>
              </w:rPr>
              <w:t xml:space="preserve">From </w:t>
            </w:r>
            <w:r w:rsidR="00924EE4" w:rsidRPr="00781D99">
              <w:rPr>
                <w:rFonts w:asciiTheme="minorHAnsi" w:hAnsiTheme="minorHAnsi"/>
                <w:sz w:val="24"/>
                <w:szCs w:val="24"/>
                <w:lang w:val="en-GB"/>
              </w:rPr>
              <w:t xml:space="preserve">the </w:t>
            </w:r>
            <w:r w:rsidR="005F527E" w:rsidRPr="00781D99">
              <w:rPr>
                <w:rFonts w:asciiTheme="minorHAnsi" w:hAnsiTheme="minorHAnsi"/>
                <w:sz w:val="24"/>
                <w:szCs w:val="24"/>
                <w:lang w:val="en-GB"/>
              </w:rPr>
              <w:t>date of thi</w:t>
            </w:r>
            <w:r w:rsidR="00B17B98" w:rsidRPr="00781D99">
              <w:rPr>
                <w:rFonts w:asciiTheme="minorHAnsi" w:hAnsiTheme="minorHAnsi"/>
                <w:sz w:val="24"/>
                <w:szCs w:val="24"/>
                <w:lang w:val="en-GB"/>
              </w:rPr>
              <w:t xml:space="preserve">s </w:t>
            </w:r>
            <w:r w:rsidR="00801C13" w:rsidRPr="00781D99">
              <w:rPr>
                <w:rFonts w:asciiTheme="minorHAnsi" w:hAnsiTheme="minorHAnsi"/>
                <w:sz w:val="24"/>
                <w:szCs w:val="24"/>
                <w:lang w:val="en-GB"/>
              </w:rPr>
              <w:t>Letter of Intent</w:t>
            </w:r>
            <w:r w:rsidR="00B17B98" w:rsidRPr="00781D99">
              <w:rPr>
                <w:rFonts w:asciiTheme="minorHAnsi" w:hAnsiTheme="minorHAnsi"/>
                <w:sz w:val="24"/>
                <w:szCs w:val="24"/>
                <w:lang w:val="en-GB"/>
              </w:rPr>
              <w:t xml:space="preserve"> until the date of taking over the m</w:t>
            </w:r>
            <w:r w:rsidR="005F527E" w:rsidRPr="00781D99">
              <w:rPr>
                <w:rFonts w:asciiTheme="minorHAnsi" w:hAnsiTheme="minorHAnsi"/>
                <w:sz w:val="24"/>
                <w:szCs w:val="24"/>
                <w:lang w:val="en-GB"/>
              </w:rPr>
              <w:t>anagement</w:t>
            </w:r>
            <w:r w:rsidR="00294DED" w:rsidRPr="00781D99">
              <w:rPr>
                <w:rFonts w:asciiTheme="minorHAnsi" w:hAnsiTheme="minorHAnsi"/>
                <w:sz w:val="24"/>
                <w:szCs w:val="24"/>
                <w:lang w:val="en-GB"/>
              </w:rPr>
              <w:t xml:space="preserve">, the Investors </w:t>
            </w:r>
            <w:r w:rsidR="00B17B98" w:rsidRPr="00781D99">
              <w:rPr>
                <w:rFonts w:asciiTheme="minorHAnsi" w:hAnsiTheme="minorHAnsi"/>
                <w:sz w:val="24"/>
                <w:szCs w:val="24"/>
                <w:lang w:val="en-GB"/>
              </w:rPr>
              <w:t xml:space="preserve">shall </w:t>
            </w:r>
            <w:r w:rsidR="00294DED" w:rsidRPr="00781D99">
              <w:rPr>
                <w:rFonts w:asciiTheme="minorHAnsi" w:hAnsiTheme="minorHAnsi"/>
                <w:sz w:val="24"/>
                <w:szCs w:val="24"/>
                <w:lang w:val="en-GB"/>
              </w:rPr>
              <w:t>ensur</w:t>
            </w:r>
            <w:r w:rsidR="00B17B98" w:rsidRPr="00781D99">
              <w:rPr>
                <w:rFonts w:asciiTheme="minorHAnsi" w:hAnsiTheme="minorHAnsi"/>
                <w:sz w:val="24"/>
                <w:szCs w:val="24"/>
                <w:lang w:val="en-GB"/>
              </w:rPr>
              <w:t>e the operation of the Company in line with the</w:t>
            </w:r>
            <w:r w:rsidR="00294DED" w:rsidRPr="00781D99">
              <w:rPr>
                <w:rFonts w:asciiTheme="minorHAnsi" w:hAnsiTheme="minorHAnsi"/>
                <w:sz w:val="24"/>
                <w:szCs w:val="24"/>
                <w:lang w:val="en-GB"/>
              </w:rPr>
              <w:t xml:space="preserve"> </w:t>
            </w:r>
            <w:r w:rsidR="005F527E" w:rsidRPr="00781D99">
              <w:rPr>
                <w:rFonts w:asciiTheme="minorHAnsi" w:hAnsiTheme="minorHAnsi"/>
                <w:sz w:val="24"/>
                <w:szCs w:val="24"/>
                <w:lang w:val="en-GB"/>
              </w:rPr>
              <w:t xml:space="preserve">ordinary course of </w:t>
            </w:r>
            <w:r w:rsidR="00294DED" w:rsidRPr="00781D99">
              <w:rPr>
                <w:rFonts w:asciiTheme="minorHAnsi" w:hAnsiTheme="minorHAnsi"/>
                <w:sz w:val="24"/>
                <w:szCs w:val="24"/>
                <w:lang w:val="en-GB"/>
              </w:rPr>
              <w:t>business</w:t>
            </w:r>
            <w:r w:rsidR="0082415A" w:rsidRPr="00781D99">
              <w:rPr>
                <w:rFonts w:asciiTheme="minorHAnsi" w:hAnsiTheme="minorHAnsi"/>
                <w:sz w:val="24"/>
                <w:szCs w:val="24"/>
                <w:lang w:val="en-GB"/>
              </w:rPr>
              <w:t xml:space="preserve"> as per the 2012 business plan</w:t>
            </w:r>
            <w:r w:rsidR="006B3867" w:rsidRPr="00781D99">
              <w:rPr>
                <w:rFonts w:asciiTheme="minorHAnsi" w:hAnsiTheme="minorHAnsi"/>
                <w:sz w:val="24"/>
                <w:szCs w:val="24"/>
                <w:lang w:val="en-GB"/>
              </w:rPr>
              <w:t>.</w:t>
            </w:r>
          </w:p>
        </w:tc>
      </w:tr>
      <w:tr w:rsidR="00294DED" w:rsidRPr="00781D99" w:rsidTr="00C058E9">
        <w:tc>
          <w:tcPr>
            <w:tcW w:w="4748" w:type="dxa"/>
          </w:tcPr>
          <w:p w:rsidR="00596AE2" w:rsidRPr="00781D99" w:rsidRDefault="00801C13" w:rsidP="00C058E9">
            <w:pPr>
              <w:pStyle w:val="ListParagraph1"/>
              <w:numPr>
                <w:ilvl w:val="0"/>
                <w:numId w:val="1"/>
              </w:numPr>
              <w:tabs>
                <w:tab w:val="left" w:pos="510"/>
              </w:tabs>
              <w:spacing w:before="120" w:after="120" w:line="240" w:lineRule="auto"/>
              <w:ind w:left="284" w:right="72" w:hanging="284"/>
              <w:contextualSpacing w:val="0"/>
              <w:jc w:val="both"/>
              <w:rPr>
                <w:rFonts w:asciiTheme="minorHAnsi" w:hAnsiTheme="minorHAnsi"/>
                <w:sz w:val="24"/>
                <w:szCs w:val="24"/>
              </w:rPr>
            </w:pPr>
            <w:r w:rsidRPr="00781D99">
              <w:rPr>
                <w:rFonts w:asciiTheme="minorHAnsi" w:hAnsiTheme="minorHAnsi"/>
                <w:sz w:val="24"/>
                <w:szCs w:val="24"/>
              </w:rPr>
              <w:t>H</w:t>
            </w:r>
            <w:r w:rsidR="00596AE2" w:rsidRPr="00781D99">
              <w:rPr>
                <w:rFonts w:asciiTheme="minorHAnsi" w:hAnsiTheme="minorHAnsi"/>
                <w:sz w:val="24"/>
                <w:szCs w:val="24"/>
              </w:rPr>
              <w:t>atáridők:</w:t>
            </w:r>
          </w:p>
        </w:tc>
        <w:tc>
          <w:tcPr>
            <w:tcW w:w="4606" w:type="dxa"/>
          </w:tcPr>
          <w:p w:rsidR="00AD7F1E" w:rsidRPr="00781D99" w:rsidRDefault="009F1CF0" w:rsidP="009F1CF0">
            <w:pPr>
              <w:pStyle w:val="ListParagraph1"/>
              <w:tabs>
                <w:tab w:val="left" w:pos="497"/>
              </w:tabs>
              <w:spacing w:before="120" w:after="120" w:line="240" w:lineRule="auto"/>
              <w:ind w:left="72"/>
              <w:contextualSpacing w:val="0"/>
              <w:jc w:val="both"/>
              <w:rPr>
                <w:rFonts w:asciiTheme="minorHAnsi" w:hAnsiTheme="minorHAnsi"/>
                <w:sz w:val="24"/>
                <w:szCs w:val="24"/>
                <w:lang w:val="en-GB"/>
              </w:rPr>
            </w:pPr>
            <w:r w:rsidRPr="00781D99">
              <w:rPr>
                <w:rFonts w:asciiTheme="minorHAnsi" w:hAnsiTheme="minorHAnsi"/>
                <w:sz w:val="24"/>
                <w:szCs w:val="24"/>
                <w:lang w:val="en-GB"/>
              </w:rPr>
              <w:t xml:space="preserve">10. </w:t>
            </w:r>
            <w:r w:rsidR="00801C13" w:rsidRPr="00781D99">
              <w:rPr>
                <w:rFonts w:asciiTheme="minorHAnsi" w:hAnsiTheme="minorHAnsi"/>
                <w:sz w:val="24"/>
                <w:szCs w:val="24"/>
                <w:lang w:val="en-GB"/>
              </w:rPr>
              <w:t>T</w:t>
            </w:r>
            <w:r w:rsidR="00554546" w:rsidRPr="00781D99">
              <w:rPr>
                <w:rFonts w:asciiTheme="minorHAnsi" w:hAnsiTheme="minorHAnsi"/>
                <w:sz w:val="24"/>
                <w:szCs w:val="24"/>
                <w:lang w:val="en-GB"/>
              </w:rPr>
              <w:t>iming:</w:t>
            </w:r>
          </w:p>
        </w:tc>
      </w:tr>
      <w:tr w:rsidR="00925ACD" w:rsidRPr="00781D99" w:rsidTr="00C058E9">
        <w:tc>
          <w:tcPr>
            <w:tcW w:w="4748" w:type="dxa"/>
          </w:tcPr>
          <w:p w:rsidR="00925ACD" w:rsidRPr="00781D99" w:rsidRDefault="00925ACD" w:rsidP="00C058E9">
            <w:pPr>
              <w:pStyle w:val="ListParagraph1"/>
              <w:numPr>
                <w:ilvl w:val="0"/>
                <w:numId w:val="19"/>
              </w:numPr>
              <w:spacing w:before="120" w:after="120" w:line="240" w:lineRule="auto"/>
              <w:ind w:left="567" w:right="72" w:hanging="283"/>
              <w:contextualSpacing w:val="0"/>
              <w:jc w:val="both"/>
              <w:rPr>
                <w:rFonts w:asciiTheme="minorHAnsi" w:hAnsiTheme="minorHAnsi"/>
                <w:sz w:val="24"/>
                <w:szCs w:val="24"/>
              </w:rPr>
            </w:pPr>
            <w:r w:rsidRPr="00781D99">
              <w:rPr>
                <w:rFonts w:asciiTheme="minorHAnsi" w:hAnsiTheme="minorHAnsi"/>
                <w:sz w:val="24"/>
                <w:szCs w:val="24"/>
              </w:rPr>
              <w:t>A Megszüntetési Megállapodás és a Részvény Adásvételi Szer</w:t>
            </w:r>
            <w:r w:rsidR="006E0F48" w:rsidRPr="00781D99">
              <w:rPr>
                <w:rFonts w:asciiTheme="minorHAnsi" w:hAnsiTheme="minorHAnsi"/>
                <w:sz w:val="24"/>
                <w:szCs w:val="24"/>
              </w:rPr>
              <w:t>ződés aláírása: 2012. április 30</w:t>
            </w:r>
            <w:r w:rsidRPr="00781D99">
              <w:rPr>
                <w:rFonts w:asciiTheme="minorHAnsi" w:hAnsiTheme="minorHAnsi"/>
                <w:sz w:val="24"/>
                <w:szCs w:val="24"/>
              </w:rPr>
              <w:t>.</w:t>
            </w:r>
          </w:p>
        </w:tc>
        <w:tc>
          <w:tcPr>
            <w:tcW w:w="4606" w:type="dxa"/>
          </w:tcPr>
          <w:p w:rsidR="00925ACD" w:rsidRPr="00781D99" w:rsidRDefault="00925ACD" w:rsidP="00925ACD">
            <w:pPr>
              <w:pStyle w:val="ListParagraph1"/>
              <w:numPr>
                <w:ilvl w:val="0"/>
                <w:numId w:val="18"/>
              </w:numPr>
              <w:spacing w:before="120" w:after="120" w:line="240" w:lineRule="auto"/>
              <w:ind w:left="639"/>
              <w:contextualSpacing w:val="0"/>
              <w:jc w:val="both"/>
              <w:rPr>
                <w:rFonts w:asciiTheme="minorHAnsi" w:hAnsiTheme="minorHAnsi"/>
                <w:sz w:val="24"/>
                <w:szCs w:val="24"/>
              </w:rPr>
            </w:pPr>
            <w:r w:rsidRPr="00781D99">
              <w:rPr>
                <w:rFonts w:asciiTheme="minorHAnsi" w:hAnsiTheme="minorHAnsi"/>
                <w:sz w:val="24"/>
                <w:szCs w:val="24"/>
                <w:lang w:val="en-GB"/>
              </w:rPr>
              <w:t xml:space="preserve">Signing of the Settlement Agreement </w:t>
            </w:r>
            <w:r w:rsidR="006E0F48" w:rsidRPr="00781D99">
              <w:rPr>
                <w:rFonts w:asciiTheme="minorHAnsi" w:hAnsiTheme="minorHAnsi"/>
                <w:sz w:val="24"/>
                <w:szCs w:val="24"/>
                <w:lang w:val="en-GB"/>
              </w:rPr>
              <w:t>and Share Purchase Agreement: 30</w:t>
            </w:r>
            <w:r w:rsidRPr="00781D99">
              <w:rPr>
                <w:rFonts w:asciiTheme="minorHAnsi" w:hAnsiTheme="minorHAnsi"/>
                <w:sz w:val="24"/>
                <w:szCs w:val="24"/>
                <w:lang w:val="en-GB"/>
              </w:rPr>
              <w:t xml:space="preserve"> April 2012. </w:t>
            </w:r>
          </w:p>
        </w:tc>
      </w:tr>
      <w:tr w:rsidR="00925ACD" w:rsidRPr="00781D99" w:rsidTr="00C058E9">
        <w:tc>
          <w:tcPr>
            <w:tcW w:w="4748" w:type="dxa"/>
          </w:tcPr>
          <w:p w:rsidR="00925ACD" w:rsidRPr="00781D99" w:rsidRDefault="00925ACD" w:rsidP="00C058E9">
            <w:pPr>
              <w:pStyle w:val="ListParagraph1"/>
              <w:numPr>
                <w:ilvl w:val="0"/>
                <w:numId w:val="19"/>
              </w:numPr>
              <w:spacing w:before="120" w:after="120" w:line="240" w:lineRule="auto"/>
              <w:ind w:left="567" w:right="72" w:hanging="283"/>
              <w:contextualSpacing w:val="0"/>
              <w:jc w:val="both"/>
              <w:rPr>
                <w:rFonts w:asciiTheme="minorHAnsi" w:hAnsiTheme="minorHAnsi"/>
                <w:sz w:val="24"/>
                <w:szCs w:val="24"/>
              </w:rPr>
            </w:pPr>
            <w:r w:rsidRPr="00781D99">
              <w:rPr>
                <w:rFonts w:asciiTheme="minorHAnsi" w:hAnsiTheme="minorHAnsi"/>
                <w:sz w:val="24"/>
                <w:szCs w:val="24"/>
              </w:rPr>
              <w:t>Az FVM irányít</w:t>
            </w:r>
            <w:r w:rsidR="006E0F48" w:rsidRPr="00781D99">
              <w:rPr>
                <w:rFonts w:asciiTheme="minorHAnsi" w:hAnsiTheme="minorHAnsi"/>
                <w:sz w:val="24"/>
                <w:szCs w:val="24"/>
              </w:rPr>
              <w:t>ásának átvétele 2012. április 30</w:t>
            </w:r>
            <w:r w:rsidRPr="00781D99">
              <w:rPr>
                <w:rFonts w:asciiTheme="minorHAnsi" w:hAnsiTheme="minorHAnsi"/>
                <w:sz w:val="24"/>
                <w:szCs w:val="24"/>
              </w:rPr>
              <w:t>.</w:t>
            </w:r>
          </w:p>
        </w:tc>
        <w:tc>
          <w:tcPr>
            <w:tcW w:w="4606" w:type="dxa"/>
          </w:tcPr>
          <w:p w:rsidR="00925ACD" w:rsidRPr="00781D99" w:rsidRDefault="00925ACD" w:rsidP="00925ACD">
            <w:pPr>
              <w:pStyle w:val="ListParagraph1"/>
              <w:numPr>
                <w:ilvl w:val="0"/>
                <w:numId w:val="18"/>
              </w:numPr>
              <w:spacing w:before="120" w:after="120" w:line="240" w:lineRule="auto"/>
              <w:ind w:left="639"/>
              <w:contextualSpacing w:val="0"/>
              <w:jc w:val="both"/>
              <w:rPr>
                <w:rFonts w:asciiTheme="minorHAnsi" w:hAnsiTheme="minorHAnsi"/>
                <w:sz w:val="24"/>
                <w:szCs w:val="24"/>
              </w:rPr>
            </w:pPr>
            <w:r w:rsidRPr="00781D99">
              <w:rPr>
                <w:rFonts w:asciiTheme="minorHAnsi" w:hAnsiTheme="minorHAnsi"/>
                <w:sz w:val="24"/>
                <w:szCs w:val="24"/>
                <w:lang w:val="en-GB"/>
              </w:rPr>
              <w:t>Change of cont</w:t>
            </w:r>
            <w:r w:rsidR="006E0F48" w:rsidRPr="00781D99">
              <w:rPr>
                <w:rFonts w:asciiTheme="minorHAnsi" w:hAnsiTheme="minorHAnsi"/>
                <w:sz w:val="24"/>
                <w:szCs w:val="24"/>
                <w:lang w:val="en-GB"/>
              </w:rPr>
              <w:t>rol in the management of FVM: 30</w:t>
            </w:r>
            <w:r w:rsidRPr="00781D99">
              <w:rPr>
                <w:rFonts w:asciiTheme="minorHAnsi" w:hAnsiTheme="minorHAnsi"/>
                <w:sz w:val="24"/>
                <w:szCs w:val="24"/>
                <w:lang w:val="en-GB"/>
              </w:rPr>
              <w:t xml:space="preserve"> April 2012.</w:t>
            </w:r>
          </w:p>
        </w:tc>
      </w:tr>
      <w:tr w:rsidR="00294DED" w:rsidRPr="00781D99" w:rsidTr="00C058E9">
        <w:tc>
          <w:tcPr>
            <w:tcW w:w="4748" w:type="dxa"/>
          </w:tcPr>
          <w:p w:rsidR="00596AE2" w:rsidRPr="00781D99" w:rsidRDefault="00596AE2" w:rsidP="00C058E9">
            <w:pPr>
              <w:pStyle w:val="ListParagraph1"/>
              <w:numPr>
                <w:ilvl w:val="0"/>
                <w:numId w:val="1"/>
              </w:numPr>
              <w:tabs>
                <w:tab w:val="left" w:pos="426"/>
              </w:tabs>
              <w:spacing w:before="120" w:after="120" w:line="240" w:lineRule="auto"/>
              <w:ind w:left="284" w:right="72" w:hanging="284"/>
              <w:contextualSpacing w:val="0"/>
              <w:jc w:val="both"/>
              <w:rPr>
                <w:rFonts w:asciiTheme="minorHAnsi" w:hAnsiTheme="minorHAnsi"/>
                <w:sz w:val="24"/>
                <w:szCs w:val="24"/>
              </w:rPr>
            </w:pPr>
            <w:r w:rsidRPr="00781D99">
              <w:rPr>
                <w:rFonts w:asciiTheme="minorHAnsi" w:hAnsiTheme="minorHAnsi"/>
                <w:sz w:val="24"/>
                <w:szCs w:val="24"/>
              </w:rPr>
              <w:t>A jelen Szándéknyilatkozat, valamint az ebben tervezett tranzakció függ az OTP Bank Zrt. írásbeli jóváhagyásától.</w:t>
            </w:r>
            <w:r w:rsidR="001838F4" w:rsidRPr="00781D99">
              <w:rPr>
                <w:rFonts w:asciiTheme="minorHAnsi" w:hAnsiTheme="minorHAnsi"/>
                <w:sz w:val="24"/>
                <w:szCs w:val="24"/>
              </w:rPr>
              <w:t xml:space="preserve"> Az Önkormányzat a közgyűlés jóváhagyása alapján írja alá a Megállapodás(oka)t.</w:t>
            </w:r>
          </w:p>
        </w:tc>
        <w:tc>
          <w:tcPr>
            <w:tcW w:w="4606" w:type="dxa"/>
          </w:tcPr>
          <w:p w:rsidR="00AD7F1E" w:rsidRPr="00781D99" w:rsidRDefault="009F1CF0" w:rsidP="009F1CF0">
            <w:pPr>
              <w:pStyle w:val="ListParagraph1"/>
              <w:tabs>
                <w:tab w:val="left" w:pos="497"/>
              </w:tabs>
              <w:spacing w:before="120" w:after="120" w:line="240" w:lineRule="auto"/>
              <w:ind w:left="72"/>
              <w:contextualSpacing w:val="0"/>
              <w:jc w:val="both"/>
              <w:rPr>
                <w:rFonts w:asciiTheme="minorHAnsi" w:hAnsiTheme="minorHAnsi"/>
                <w:sz w:val="24"/>
                <w:szCs w:val="24"/>
                <w:lang w:val="en-GB"/>
              </w:rPr>
            </w:pPr>
            <w:r w:rsidRPr="00781D99">
              <w:rPr>
                <w:rFonts w:asciiTheme="minorHAnsi" w:hAnsiTheme="minorHAnsi"/>
                <w:sz w:val="24"/>
                <w:szCs w:val="24"/>
                <w:lang w:val="en-GB"/>
              </w:rPr>
              <w:t xml:space="preserve">11. </w:t>
            </w:r>
            <w:r w:rsidR="00CB0D53" w:rsidRPr="00781D99">
              <w:rPr>
                <w:rFonts w:asciiTheme="minorHAnsi" w:hAnsiTheme="minorHAnsi"/>
                <w:sz w:val="24"/>
                <w:szCs w:val="24"/>
                <w:lang w:val="en-GB"/>
              </w:rPr>
              <w:t xml:space="preserve">This Letter of Intent as well as the conclusion of the transaction envisaged herein is subject to the written consent of OTP Bank </w:t>
            </w:r>
            <w:r w:rsidR="00801C13" w:rsidRPr="00781D99">
              <w:rPr>
                <w:rFonts w:asciiTheme="minorHAnsi" w:hAnsiTheme="minorHAnsi"/>
                <w:sz w:val="24"/>
                <w:szCs w:val="24"/>
                <w:lang w:val="en-GB"/>
              </w:rPr>
              <w:t>Zrt.</w:t>
            </w:r>
            <w:r w:rsidR="001838F4" w:rsidRPr="00781D99">
              <w:rPr>
                <w:rFonts w:asciiTheme="minorHAnsi" w:hAnsiTheme="minorHAnsi"/>
                <w:sz w:val="24"/>
                <w:szCs w:val="24"/>
                <w:lang w:val="en-GB"/>
              </w:rPr>
              <w:t xml:space="preserve"> The Municipality will sign the Agreements subject to the approval by its general assembly.</w:t>
            </w:r>
          </w:p>
        </w:tc>
      </w:tr>
      <w:tr w:rsidR="00925ACD" w:rsidRPr="00781D99" w:rsidTr="00C058E9">
        <w:tc>
          <w:tcPr>
            <w:tcW w:w="4748" w:type="dxa"/>
          </w:tcPr>
          <w:p w:rsidR="00C27900" w:rsidRDefault="00925ACD">
            <w:pPr>
              <w:pStyle w:val="ListParagraph1"/>
              <w:numPr>
                <w:ilvl w:val="0"/>
                <w:numId w:val="1"/>
              </w:numPr>
              <w:tabs>
                <w:tab w:val="left" w:pos="435"/>
              </w:tabs>
              <w:spacing w:before="120" w:after="120" w:line="240" w:lineRule="auto"/>
              <w:ind w:left="284" w:right="72" w:hanging="284"/>
              <w:contextualSpacing w:val="0"/>
              <w:jc w:val="both"/>
              <w:rPr>
                <w:rFonts w:asciiTheme="minorHAnsi" w:hAnsiTheme="minorHAnsi"/>
                <w:sz w:val="24"/>
                <w:szCs w:val="24"/>
              </w:rPr>
            </w:pPr>
            <w:r w:rsidRPr="00781D99">
              <w:rPr>
                <w:rFonts w:asciiTheme="minorHAnsi" w:hAnsiTheme="minorHAnsi"/>
                <w:sz w:val="24"/>
                <w:szCs w:val="24"/>
              </w:rPr>
              <w:t>A jelen szándéknyilatkozat nem minősül a felekre nézve jogi kötelezőerővel bíró dokumentumnak</w:t>
            </w:r>
            <w:r w:rsidR="001838F4">
              <w:rPr>
                <w:rFonts w:asciiTheme="minorHAnsi" w:hAnsiTheme="minorHAnsi"/>
                <w:sz w:val="24"/>
                <w:szCs w:val="24"/>
              </w:rPr>
              <w:t xml:space="preserve"> (szerződésnek vagy </w:t>
            </w:r>
            <w:r w:rsidR="001838F4">
              <w:rPr>
                <w:rFonts w:asciiTheme="minorHAnsi" w:hAnsiTheme="minorHAnsi"/>
                <w:sz w:val="24"/>
                <w:szCs w:val="24"/>
              </w:rPr>
              <w:lastRenderedPageBreak/>
              <w:t>előszerződésnek)</w:t>
            </w:r>
            <w:r w:rsidRPr="00781D99">
              <w:rPr>
                <w:rFonts w:asciiTheme="minorHAnsi" w:hAnsiTheme="minorHAnsi"/>
                <w:sz w:val="24"/>
                <w:szCs w:val="24"/>
              </w:rPr>
              <w:t>.</w:t>
            </w:r>
            <w:r w:rsidR="00B15ECE" w:rsidRPr="00781D99">
              <w:rPr>
                <w:rFonts w:asciiTheme="minorHAnsi" w:hAnsiTheme="minorHAnsi"/>
                <w:sz w:val="24"/>
                <w:szCs w:val="24"/>
              </w:rPr>
              <w:t xml:space="preserve"> </w:t>
            </w:r>
            <w:r w:rsidR="001838F4">
              <w:rPr>
                <w:rFonts w:asciiTheme="minorHAnsi" w:hAnsiTheme="minorHAnsi"/>
                <w:sz w:val="24"/>
                <w:szCs w:val="24"/>
              </w:rPr>
              <w:t xml:space="preserve"> A nagyobb bizonyosság kedvéért, a Felek megerősítik, hogy a jelen szándéknyilatkozatban foglalt vagy előre vetített nyilatkozat, kötelezettségvállalás, </w:t>
            </w:r>
            <w:r w:rsidR="00F30477">
              <w:rPr>
                <w:rFonts w:asciiTheme="minorHAnsi" w:hAnsiTheme="minorHAnsi"/>
                <w:sz w:val="24"/>
                <w:szCs w:val="24"/>
              </w:rPr>
              <w:t>jogról vagy követelésről történő lemondás a Felekre kötelező erővel csak a végleges Megállapodások aláírása nyomán, a Megállapodásokban foglalt ügyletek teljesítése (zárása) idején bír majd.</w:t>
            </w:r>
          </w:p>
        </w:tc>
        <w:tc>
          <w:tcPr>
            <w:tcW w:w="4606" w:type="dxa"/>
          </w:tcPr>
          <w:p w:rsidR="00AD7F1E" w:rsidRPr="00781D99" w:rsidRDefault="009F1CF0" w:rsidP="00F30477">
            <w:pPr>
              <w:pStyle w:val="ListParagraph1"/>
              <w:tabs>
                <w:tab w:val="left" w:pos="509"/>
              </w:tabs>
              <w:spacing w:before="120" w:after="120" w:line="240" w:lineRule="auto"/>
              <w:ind w:left="72"/>
              <w:contextualSpacing w:val="0"/>
              <w:jc w:val="both"/>
              <w:rPr>
                <w:rFonts w:asciiTheme="minorHAnsi" w:hAnsiTheme="minorHAnsi"/>
                <w:sz w:val="24"/>
                <w:szCs w:val="24"/>
                <w:lang w:val="en-GB"/>
              </w:rPr>
            </w:pPr>
            <w:r w:rsidRPr="00781D99">
              <w:rPr>
                <w:rFonts w:asciiTheme="minorHAnsi" w:hAnsiTheme="minorHAnsi"/>
                <w:sz w:val="24"/>
                <w:szCs w:val="24"/>
                <w:lang w:val="en-GB"/>
              </w:rPr>
              <w:lastRenderedPageBreak/>
              <w:t xml:space="preserve">12. </w:t>
            </w:r>
            <w:r w:rsidR="00925ACD" w:rsidRPr="00781D99">
              <w:rPr>
                <w:rFonts w:asciiTheme="minorHAnsi" w:hAnsiTheme="minorHAnsi"/>
                <w:sz w:val="24"/>
                <w:szCs w:val="24"/>
                <w:lang w:val="en-GB"/>
              </w:rPr>
              <w:t xml:space="preserve">This Letter of Intent does not constitute a legally binding document </w:t>
            </w:r>
            <w:r w:rsidR="001838F4">
              <w:rPr>
                <w:rFonts w:asciiTheme="minorHAnsi" w:hAnsiTheme="minorHAnsi"/>
                <w:sz w:val="24"/>
                <w:szCs w:val="24"/>
                <w:lang w:val="en-GB"/>
              </w:rPr>
              <w:t xml:space="preserve">(contract or pre-contract) </w:t>
            </w:r>
            <w:r w:rsidR="00925ACD" w:rsidRPr="00781D99">
              <w:rPr>
                <w:rFonts w:asciiTheme="minorHAnsi" w:hAnsiTheme="minorHAnsi"/>
                <w:sz w:val="24"/>
                <w:szCs w:val="24"/>
                <w:lang w:val="en-GB"/>
              </w:rPr>
              <w:t>among the Parties.</w:t>
            </w:r>
            <w:r w:rsidR="003C6297" w:rsidRPr="00781D99">
              <w:rPr>
                <w:rFonts w:asciiTheme="minorHAnsi" w:hAnsiTheme="minorHAnsi"/>
                <w:sz w:val="24"/>
                <w:szCs w:val="24"/>
                <w:lang w:val="en-GB"/>
              </w:rPr>
              <w:t xml:space="preserve"> </w:t>
            </w:r>
            <w:r w:rsidR="00F30477">
              <w:rPr>
                <w:rFonts w:asciiTheme="minorHAnsi" w:hAnsiTheme="minorHAnsi"/>
                <w:sz w:val="24"/>
                <w:szCs w:val="24"/>
                <w:lang w:val="en-GB"/>
              </w:rPr>
              <w:t xml:space="preserve"> For greater </w:t>
            </w:r>
            <w:r w:rsidR="00F30477">
              <w:rPr>
                <w:rFonts w:asciiTheme="minorHAnsi" w:hAnsiTheme="minorHAnsi"/>
                <w:sz w:val="24"/>
                <w:szCs w:val="24"/>
                <w:lang w:val="en-GB"/>
              </w:rPr>
              <w:lastRenderedPageBreak/>
              <w:t>certainty, the Parties confirm that any representation given or forecasted in this letter of intent, or any undertaking or waiving of rights or claims, will be binding on the Parties only upon after the signing of the final Agreements, as at the completion (closing) of the transactions incorporated into the Agreements.</w:t>
            </w:r>
          </w:p>
        </w:tc>
      </w:tr>
      <w:tr w:rsidR="00294DED" w:rsidRPr="00781D99" w:rsidTr="00C058E9">
        <w:tc>
          <w:tcPr>
            <w:tcW w:w="4748" w:type="dxa"/>
          </w:tcPr>
          <w:p w:rsidR="00294DED" w:rsidRPr="00781D99" w:rsidRDefault="00294DED" w:rsidP="00C058E9">
            <w:pPr>
              <w:spacing w:before="120" w:after="120" w:line="240" w:lineRule="auto"/>
              <w:ind w:right="72"/>
              <w:jc w:val="both"/>
              <w:rPr>
                <w:rFonts w:asciiTheme="minorHAnsi" w:hAnsiTheme="minorHAnsi"/>
                <w:sz w:val="24"/>
                <w:szCs w:val="24"/>
              </w:rPr>
            </w:pPr>
            <w:r w:rsidRPr="00781D99">
              <w:rPr>
                <w:rFonts w:asciiTheme="minorHAnsi" w:hAnsiTheme="minorHAnsi"/>
                <w:sz w:val="24"/>
                <w:szCs w:val="24"/>
              </w:rPr>
              <w:lastRenderedPageBreak/>
              <w:t xml:space="preserve">Budapest, 2012. </w:t>
            </w:r>
            <w:r w:rsidR="00301657" w:rsidRPr="00781D99">
              <w:rPr>
                <w:rFonts w:asciiTheme="minorHAnsi" w:hAnsiTheme="minorHAnsi"/>
                <w:sz w:val="24"/>
                <w:szCs w:val="24"/>
              </w:rPr>
              <w:t>március</w:t>
            </w:r>
            <w:r w:rsidRPr="00781D99">
              <w:rPr>
                <w:rFonts w:asciiTheme="minorHAnsi" w:hAnsiTheme="minorHAnsi"/>
                <w:sz w:val="24"/>
                <w:szCs w:val="24"/>
              </w:rPr>
              <w:t xml:space="preserve"> </w:t>
            </w:r>
            <w:r w:rsidR="009E02FA">
              <w:rPr>
                <w:rFonts w:asciiTheme="minorHAnsi" w:hAnsiTheme="minorHAnsi"/>
                <w:sz w:val="24"/>
                <w:szCs w:val="24"/>
              </w:rPr>
              <w:t>…..</w:t>
            </w:r>
            <w:r w:rsidRPr="00781D99">
              <w:rPr>
                <w:rFonts w:asciiTheme="minorHAnsi" w:hAnsiTheme="minorHAnsi"/>
                <w:sz w:val="24"/>
                <w:szCs w:val="24"/>
              </w:rPr>
              <w:t>.</w:t>
            </w:r>
          </w:p>
        </w:tc>
        <w:tc>
          <w:tcPr>
            <w:tcW w:w="4606" w:type="dxa"/>
          </w:tcPr>
          <w:p w:rsidR="00294DED" w:rsidRPr="00781D99" w:rsidRDefault="009E02FA" w:rsidP="00301657">
            <w:pPr>
              <w:spacing w:before="120" w:after="120" w:line="240" w:lineRule="auto"/>
              <w:ind w:left="72"/>
              <w:jc w:val="both"/>
              <w:rPr>
                <w:rFonts w:asciiTheme="minorHAnsi" w:hAnsiTheme="minorHAnsi"/>
                <w:sz w:val="24"/>
                <w:szCs w:val="24"/>
                <w:lang w:val="en-GB"/>
              </w:rPr>
            </w:pPr>
            <w:r>
              <w:rPr>
                <w:rFonts w:asciiTheme="minorHAnsi" w:hAnsiTheme="minorHAnsi"/>
                <w:sz w:val="24"/>
                <w:szCs w:val="24"/>
                <w:lang w:val="en-GB"/>
              </w:rPr>
              <w:t>....</w:t>
            </w:r>
            <w:r w:rsidR="00E952E3" w:rsidRPr="00781D99">
              <w:rPr>
                <w:rFonts w:asciiTheme="minorHAnsi" w:hAnsiTheme="minorHAnsi"/>
                <w:sz w:val="24"/>
                <w:szCs w:val="24"/>
                <w:lang w:val="en-GB"/>
              </w:rPr>
              <w:t xml:space="preserve"> </w:t>
            </w:r>
            <w:r w:rsidR="00301657" w:rsidRPr="00781D99">
              <w:rPr>
                <w:rFonts w:asciiTheme="minorHAnsi" w:hAnsiTheme="minorHAnsi"/>
                <w:sz w:val="24"/>
                <w:szCs w:val="24"/>
                <w:lang w:val="en-GB"/>
              </w:rPr>
              <w:t>March</w:t>
            </w:r>
            <w:r w:rsidR="00294DED" w:rsidRPr="00781D99">
              <w:rPr>
                <w:rFonts w:asciiTheme="minorHAnsi" w:hAnsiTheme="minorHAnsi"/>
                <w:sz w:val="24"/>
                <w:szCs w:val="24"/>
                <w:lang w:val="en-GB"/>
              </w:rPr>
              <w:t xml:space="preserve"> 201</w:t>
            </w:r>
            <w:r>
              <w:rPr>
                <w:rFonts w:asciiTheme="minorHAnsi" w:hAnsiTheme="minorHAnsi"/>
                <w:sz w:val="24"/>
                <w:szCs w:val="24"/>
                <w:lang w:val="en-GB"/>
              </w:rPr>
              <w:t>2</w:t>
            </w:r>
            <w:r w:rsidR="00294DED" w:rsidRPr="00781D99">
              <w:rPr>
                <w:rFonts w:asciiTheme="minorHAnsi" w:hAnsiTheme="minorHAnsi"/>
                <w:sz w:val="24"/>
                <w:szCs w:val="24"/>
                <w:lang w:val="en-GB"/>
              </w:rPr>
              <w:t>, Budapest</w:t>
            </w:r>
          </w:p>
        </w:tc>
      </w:tr>
      <w:tr w:rsidR="00294DED" w:rsidRPr="00781D99" w:rsidTr="00C058E9">
        <w:tc>
          <w:tcPr>
            <w:tcW w:w="4748" w:type="dxa"/>
          </w:tcPr>
          <w:p w:rsidR="00294DED" w:rsidRPr="00781D99" w:rsidRDefault="00294DED" w:rsidP="00C058E9">
            <w:pPr>
              <w:spacing w:before="120" w:after="120" w:line="240" w:lineRule="auto"/>
              <w:ind w:right="72"/>
              <w:jc w:val="both"/>
              <w:rPr>
                <w:rFonts w:asciiTheme="minorHAnsi" w:hAnsiTheme="minorHAnsi"/>
                <w:b/>
                <w:sz w:val="24"/>
                <w:szCs w:val="24"/>
              </w:rPr>
            </w:pPr>
            <w:r w:rsidRPr="00781D99">
              <w:rPr>
                <w:rFonts w:asciiTheme="minorHAnsi" w:hAnsiTheme="minorHAnsi"/>
                <w:b/>
                <w:sz w:val="24"/>
                <w:szCs w:val="24"/>
              </w:rPr>
              <w:t>Budapest Főváros Önkormányzata</w:t>
            </w:r>
          </w:p>
        </w:tc>
        <w:tc>
          <w:tcPr>
            <w:tcW w:w="4606" w:type="dxa"/>
          </w:tcPr>
          <w:p w:rsidR="00294DED" w:rsidRPr="00781D99" w:rsidRDefault="00431AAD" w:rsidP="00DF1CCA">
            <w:pPr>
              <w:spacing w:before="120" w:after="120" w:line="240" w:lineRule="auto"/>
              <w:ind w:left="72"/>
              <w:jc w:val="center"/>
              <w:rPr>
                <w:rFonts w:asciiTheme="minorHAnsi" w:hAnsiTheme="minorHAnsi"/>
                <w:b/>
                <w:sz w:val="24"/>
                <w:szCs w:val="24"/>
                <w:lang w:val="en-GB"/>
              </w:rPr>
            </w:pPr>
            <w:r w:rsidRPr="00781D99">
              <w:rPr>
                <w:rFonts w:asciiTheme="minorHAnsi" w:hAnsiTheme="minorHAnsi"/>
                <w:b/>
                <w:sz w:val="24"/>
                <w:szCs w:val="24"/>
              </w:rPr>
              <w:t>Suez Environnement SA</w:t>
            </w:r>
          </w:p>
        </w:tc>
      </w:tr>
      <w:tr w:rsidR="00431AAD" w:rsidRPr="00781D99" w:rsidTr="00C058E9">
        <w:trPr>
          <w:trHeight w:val="664"/>
        </w:trPr>
        <w:tc>
          <w:tcPr>
            <w:tcW w:w="4748" w:type="dxa"/>
          </w:tcPr>
          <w:p w:rsidR="00431AAD" w:rsidRDefault="00431AAD" w:rsidP="00C058E9">
            <w:pPr>
              <w:spacing w:before="480" w:after="120" w:line="240" w:lineRule="auto"/>
              <w:ind w:right="72"/>
              <w:jc w:val="both"/>
              <w:rPr>
                <w:rFonts w:asciiTheme="minorHAnsi" w:hAnsiTheme="minorHAnsi"/>
                <w:sz w:val="24"/>
                <w:szCs w:val="24"/>
              </w:rPr>
            </w:pPr>
            <w:r w:rsidRPr="00781D99">
              <w:rPr>
                <w:rFonts w:asciiTheme="minorHAnsi" w:hAnsiTheme="minorHAnsi"/>
                <w:sz w:val="24"/>
                <w:szCs w:val="24"/>
              </w:rPr>
              <w:t>……………………………………………</w:t>
            </w:r>
          </w:p>
          <w:p w:rsidR="00431AAD" w:rsidRPr="00781D99" w:rsidRDefault="00431AAD" w:rsidP="00C058E9">
            <w:pPr>
              <w:spacing w:before="480" w:after="120" w:line="240" w:lineRule="auto"/>
              <w:ind w:right="72"/>
              <w:jc w:val="both"/>
              <w:rPr>
                <w:rFonts w:asciiTheme="minorHAnsi" w:hAnsiTheme="minorHAnsi"/>
                <w:sz w:val="24"/>
                <w:szCs w:val="24"/>
              </w:rPr>
            </w:pPr>
            <w:r w:rsidRPr="00781D99">
              <w:rPr>
                <w:rFonts w:asciiTheme="minorHAnsi" w:hAnsiTheme="minorHAnsi"/>
                <w:b/>
                <w:sz w:val="24"/>
                <w:szCs w:val="24"/>
              </w:rPr>
              <w:t>a Főváros Önkormányzata nevében/ on behalf of thre Municipality</w:t>
            </w:r>
          </w:p>
        </w:tc>
        <w:tc>
          <w:tcPr>
            <w:tcW w:w="4606" w:type="dxa"/>
          </w:tcPr>
          <w:p w:rsidR="00431AAD" w:rsidRDefault="00431AAD" w:rsidP="001F79CF">
            <w:pPr>
              <w:spacing w:before="120" w:after="120" w:line="240" w:lineRule="auto"/>
              <w:ind w:right="72"/>
              <w:rPr>
                <w:rFonts w:asciiTheme="minorHAnsi" w:hAnsiTheme="minorHAnsi"/>
                <w:sz w:val="24"/>
                <w:szCs w:val="24"/>
              </w:rPr>
            </w:pPr>
          </w:p>
          <w:p w:rsidR="00431AAD" w:rsidRPr="00781D99" w:rsidRDefault="00431AAD" w:rsidP="00431AAD">
            <w:pPr>
              <w:spacing w:before="120" w:after="120" w:line="240" w:lineRule="auto"/>
              <w:ind w:right="72"/>
              <w:jc w:val="right"/>
              <w:rPr>
                <w:rFonts w:asciiTheme="minorHAnsi" w:hAnsiTheme="minorHAnsi"/>
                <w:b/>
                <w:sz w:val="24"/>
                <w:szCs w:val="24"/>
              </w:rPr>
            </w:pPr>
            <w:r>
              <w:rPr>
                <w:rFonts w:asciiTheme="minorHAnsi" w:hAnsiTheme="minorHAnsi"/>
                <w:b/>
                <w:sz w:val="24"/>
                <w:szCs w:val="24"/>
              </w:rPr>
              <w:t>……………………………………………..</w:t>
            </w:r>
          </w:p>
          <w:p w:rsidR="00431AAD" w:rsidRPr="00781D99" w:rsidRDefault="00431AAD" w:rsidP="00DF1CCA">
            <w:pPr>
              <w:spacing w:before="480" w:after="120" w:line="240" w:lineRule="auto"/>
              <w:ind w:left="72"/>
              <w:jc w:val="center"/>
              <w:rPr>
                <w:rFonts w:asciiTheme="minorHAnsi" w:hAnsiTheme="minorHAnsi"/>
                <w:sz w:val="24"/>
                <w:szCs w:val="24"/>
                <w:lang w:val="en-GB"/>
              </w:rPr>
            </w:pPr>
            <w:r w:rsidRPr="00781D99">
              <w:rPr>
                <w:rFonts w:asciiTheme="minorHAnsi" w:hAnsiTheme="minorHAnsi"/>
                <w:b/>
                <w:sz w:val="24"/>
                <w:szCs w:val="24"/>
              </w:rPr>
              <w:t>a saját és a Hungáriavíz Zrt. nevében /</w:t>
            </w:r>
            <w:r w:rsidRPr="00781D99">
              <w:rPr>
                <w:rFonts w:asciiTheme="minorHAnsi" w:hAnsiTheme="minorHAnsi"/>
                <w:b/>
                <w:sz w:val="24"/>
                <w:szCs w:val="24"/>
              </w:rPr>
              <w:br/>
              <w:t>acting on its own behalf and on behalf of</w:t>
            </w:r>
          </w:p>
        </w:tc>
      </w:tr>
    </w:tbl>
    <w:p w:rsidR="006E7002" w:rsidRPr="00781D99" w:rsidRDefault="006E7002" w:rsidP="00684BEB">
      <w:pPr>
        <w:spacing w:line="240" w:lineRule="auto"/>
        <w:jc w:val="both"/>
        <w:rPr>
          <w:rFonts w:asciiTheme="minorHAnsi" w:hAnsiTheme="minorHAnsi"/>
          <w:b/>
          <w:sz w:val="24"/>
          <w:szCs w:val="24"/>
        </w:rPr>
      </w:pPr>
    </w:p>
    <w:p w:rsidR="006E7002" w:rsidRPr="00781D99" w:rsidRDefault="006E7002" w:rsidP="00E549F3">
      <w:pPr>
        <w:spacing w:before="120" w:after="120" w:line="240" w:lineRule="auto"/>
        <w:ind w:right="213"/>
        <w:jc w:val="both"/>
        <w:outlineLvl w:val="0"/>
        <w:rPr>
          <w:rFonts w:asciiTheme="minorHAnsi" w:hAnsiTheme="minorHAnsi"/>
          <w:b/>
          <w:sz w:val="24"/>
          <w:szCs w:val="24"/>
        </w:rPr>
      </w:pPr>
      <w:r w:rsidRPr="00781D99">
        <w:rPr>
          <w:rFonts w:asciiTheme="minorHAnsi" w:hAnsiTheme="minorHAnsi"/>
          <w:b/>
          <w:sz w:val="24"/>
          <w:szCs w:val="24"/>
        </w:rPr>
        <w:t>RWE Hungária Kft.</w:t>
      </w:r>
    </w:p>
    <w:p w:rsidR="006E7002" w:rsidRPr="00781D99" w:rsidRDefault="006E7002" w:rsidP="006E7002">
      <w:pPr>
        <w:spacing w:before="120" w:after="120" w:line="240" w:lineRule="auto"/>
        <w:ind w:right="213"/>
        <w:jc w:val="both"/>
        <w:rPr>
          <w:rFonts w:asciiTheme="minorHAnsi" w:hAnsiTheme="minorHAnsi"/>
          <w:b/>
          <w:sz w:val="24"/>
          <w:szCs w:val="24"/>
        </w:rPr>
      </w:pPr>
      <w:r w:rsidRPr="00781D99">
        <w:rPr>
          <w:rFonts w:asciiTheme="minorHAnsi" w:hAnsiTheme="minorHAnsi"/>
          <w:sz w:val="24"/>
          <w:szCs w:val="24"/>
        </w:rPr>
        <w:t>……………………………………………</w:t>
      </w:r>
    </w:p>
    <w:p w:rsidR="00CC7962" w:rsidRPr="00781D99" w:rsidRDefault="00817C79" w:rsidP="00684BEB">
      <w:pPr>
        <w:spacing w:line="240" w:lineRule="auto"/>
        <w:jc w:val="both"/>
        <w:rPr>
          <w:rFonts w:asciiTheme="minorHAnsi" w:hAnsiTheme="minorHAnsi"/>
          <w:sz w:val="24"/>
          <w:szCs w:val="24"/>
        </w:rPr>
      </w:pPr>
      <w:r w:rsidRPr="00781D99">
        <w:rPr>
          <w:rFonts w:asciiTheme="minorHAnsi" w:hAnsiTheme="minorHAnsi"/>
          <w:b/>
          <w:sz w:val="24"/>
          <w:szCs w:val="24"/>
        </w:rPr>
        <w:t xml:space="preserve">az </w:t>
      </w:r>
      <w:r w:rsidR="006E7002" w:rsidRPr="00781D99">
        <w:rPr>
          <w:rFonts w:asciiTheme="minorHAnsi" w:hAnsiTheme="minorHAnsi"/>
          <w:b/>
          <w:sz w:val="24"/>
          <w:szCs w:val="24"/>
        </w:rPr>
        <w:t>RWE Aqua GmbH</w:t>
      </w:r>
      <w:r w:rsidR="006E7002" w:rsidRPr="00781D99">
        <w:rPr>
          <w:rFonts w:asciiTheme="minorHAnsi" w:hAnsiTheme="minorHAnsi"/>
          <w:sz w:val="24"/>
          <w:szCs w:val="24"/>
        </w:rPr>
        <w:t xml:space="preserve"> </w:t>
      </w:r>
      <w:r w:rsidR="006E7002" w:rsidRPr="00781D99">
        <w:rPr>
          <w:rFonts w:asciiTheme="minorHAnsi" w:hAnsiTheme="minorHAnsi"/>
          <w:b/>
          <w:sz w:val="24"/>
          <w:szCs w:val="24"/>
        </w:rPr>
        <w:t>nevében/ on behalf RWE Aqua GmbH</w:t>
      </w:r>
    </w:p>
    <w:sectPr w:rsidR="00CC7962" w:rsidRPr="00781D99" w:rsidSect="00113A82">
      <w:pgSz w:w="11906" w:h="16838"/>
      <w:pgMar w:top="1417"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681" w:rsidRDefault="00DA5681" w:rsidP="00467493">
      <w:pPr>
        <w:spacing w:after="0" w:line="240" w:lineRule="auto"/>
      </w:pPr>
      <w:r>
        <w:separator/>
      </w:r>
    </w:p>
  </w:endnote>
  <w:endnote w:type="continuationSeparator" w:id="0">
    <w:p w:rsidR="00DA5681" w:rsidRDefault="00DA5681" w:rsidP="00467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681" w:rsidRDefault="00DA5681" w:rsidP="00467493">
      <w:pPr>
        <w:spacing w:after="0" w:line="240" w:lineRule="auto"/>
      </w:pPr>
      <w:r>
        <w:separator/>
      </w:r>
    </w:p>
  </w:footnote>
  <w:footnote w:type="continuationSeparator" w:id="0">
    <w:p w:rsidR="00DA5681" w:rsidRDefault="00DA5681" w:rsidP="00467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6279"/>
    <w:multiLevelType w:val="hybridMultilevel"/>
    <w:tmpl w:val="CD26DD56"/>
    <w:lvl w:ilvl="0" w:tplc="947241EA">
      <w:start w:val="1"/>
      <w:numFmt w:val="decimal"/>
      <w:lvlText w:val="%1."/>
      <w:lvlJc w:val="left"/>
      <w:pPr>
        <w:ind w:left="792"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3EA1F0D"/>
    <w:multiLevelType w:val="hybridMultilevel"/>
    <w:tmpl w:val="BDD2D796"/>
    <w:lvl w:ilvl="0" w:tplc="1660D6D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8FE06C7"/>
    <w:multiLevelType w:val="hybridMultilevel"/>
    <w:tmpl w:val="9E3E25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D086B05"/>
    <w:multiLevelType w:val="hybridMultilevel"/>
    <w:tmpl w:val="A6B4B1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5F84982"/>
    <w:multiLevelType w:val="hybridMultilevel"/>
    <w:tmpl w:val="BEDC8632"/>
    <w:lvl w:ilvl="0" w:tplc="AAD081A2">
      <w:start w:val="1"/>
      <w:numFmt w:val="lowerLetter"/>
      <w:lvlText w:val="%1)"/>
      <w:lvlJc w:val="left"/>
      <w:pPr>
        <w:ind w:left="1061" w:hanging="360"/>
      </w:pPr>
      <w:rPr>
        <w:rFonts w:hint="default"/>
      </w:rPr>
    </w:lvl>
    <w:lvl w:ilvl="1" w:tplc="040E0019" w:tentative="1">
      <w:start w:val="1"/>
      <w:numFmt w:val="lowerLetter"/>
      <w:lvlText w:val="%2."/>
      <w:lvlJc w:val="left"/>
      <w:pPr>
        <w:ind w:left="1781" w:hanging="360"/>
      </w:pPr>
    </w:lvl>
    <w:lvl w:ilvl="2" w:tplc="040E001B" w:tentative="1">
      <w:start w:val="1"/>
      <w:numFmt w:val="lowerRoman"/>
      <w:lvlText w:val="%3."/>
      <w:lvlJc w:val="right"/>
      <w:pPr>
        <w:ind w:left="2501" w:hanging="180"/>
      </w:pPr>
    </w:lvl>
    <w:lvl w:ilvl="3" w:tplc="040E000F" w:tentative="1">
      <w:start w:val="1"/>
      <w:numFmt w:val="decimal"/>
      <w:lvlText w:val="%4."/>
      <w:lvlJc w:val="left"/>
      <w:pPr>
        <w:ind w:left="3221" w:hanging="360"/>
      </w:pPr>
    </w:lvl>
    <w:lvl w:ilvl="4" w:tplc="040E0019" w:tentative="1">
      <w:start w:val="1"/>
      <w:numFmt w:val="lowerLetter"/>
      <w:lvlText w:val="%5."/>
      <w:lvlJc w:val="left"/>
      <w:pPr>
        <w:ind w:left="3941" w:hanging="360"/>
      </w:pPr>
    </w:lvl>
    <w:lvl w:ilvl="5" w:tplc="040E001B" w:tentative="1">
      <w:start w:val="1"/>
      <w:numFmt w:val="lowerRoman"/>
      <w:lvlText w:val="%6."/>
      <w:lvlJc w:val="right"/>
      <w:pPr>
        <w:ind w:left="4661" w:hanging="180"/>
      </w:pPr>
    </w:lvl>
    <w:lvl w:ilvl="6" w:tplc="040E000F" w:tentative="1">
      <w:start w:val="1"/>
      <w:numFmt w:val="decimal"/>
      <w:lvlText w:val="%7."/>
      <w:lvlJc w:val="left"/>
      <w:pPr>
        <w:ind w:left="5381" w:hanging="360"/>
      </w:pPr>
    </w:lvl>
    <w:lvl w:ilvl="7" w:tplc="040E0019" w:tentative="1">
      <w:start w:val="1"/>
      <w:numFmt w:val="lowerLetter"/>
      <w:lvlText w:val="%8."/>
      <w:lvlJc w:val="left"/>
      <w:pPr>
        <w:ind w:left="6101" w:hanging="360"/>
      </w:pPr>
    </w:lvl>
    <w:lvl w:ilvl="8" w:tplc="040E001B" w:tentative="1">
      <w:start w:val="1"/>
      <w:numFmt w:val="lowerRoman"/>
      <w:lvlText w:val="%9."/>
      <w:lvlJc w:val="right"/>
      <w:pPr>
        <w:ind w:left="6821" w:hanging="180"/>
      </w:pPr>
    </w:lvl>
  </w:abstractNum>
  <w:abstractNum w:abstractNumId="5">
    <w:nsid w:val="32577B52"/>
    <w:multiLevelType w:val="hybridMultilevel"/>
    <w:tmpl w:val="0DC23C30"/>
    <w:lvl w:ilvl="0" w:tplc="7EA6166E">
      <w:start w:val="1"/>
      <w:numFmt w:val="lowerLetter"/>
      <w:lvlText w:val="%1."/>
      <w:lvlJc w:val="left"/>
      <w:pPr>
        <w:ind w:left="1440" w:hanging="360"/>
      </w:pPr>
      <w:rPr>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nsid w:val="335E5BFA"/>
    <w:multiLevelType w:val="hybridMultilevel"/>
    <w:tmpl w:val="419C8D98"/>
    <w:lvl w:ilvl="0" w:tplc="7AA0CA8E">
      <w:start w:val="1"/>
      <w:numFmt w:val="lowerLetter"/>
      <w:lvlText w:val="%1."/>
      <w:lvlJc w:val="left"/>
      <w:pPr>
        <w:ind w:left="144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4C811AC"/>
    <w:multiLevelType w:val="hybridMultilevel"/>
    <w:tmpl w:val="3BA21AB4"/>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nsid w:val="40165E0F"/>
    <w:multiLevelType w:val="hybridMultilevel"/>
    <w:tmpl w:val="60A04386"/>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475850CA"/>
    <w:multiLevelType w:val="hybridMultilevel"/>
    <w:tmpl w:val="645EF1FA"/>
    <w:lvl w:ilvl="0" w:tplc="040E0019">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0">
    <w:nsid w:val="476954DA"/>
    <w:multiLevelType w:val="hybridMultilevel"/>
    <w:tmpl w:val="1848E7C8"/>
    <w:lvl w:ilvl="0" w:tplc="A14429DA">
      <w:start w:val="1"/>
      <w:numFmt w:val="lowerLetter"/>
      <w:lvlText w:val="%1)"/>
      <w:lvlJc w:val="left"/>
      <w:pPr>
        <w:ind w:left="1062" w:hanging="360"/>
      </w:pPr>
      <w:rPr>
        <w:rFonts w:hint="default"/>
      </w:rPr>
    </w:lvl>
    <w:lvl w:ilvl="1" w:tplc="040E0019" w:tentative="1">
      <w:start w:val="1"/>
      <w:numFmt w:val="lowerLetter"/>
      <w:lvlText w:val="%2."/>
      <w:lvlJc w:val="left"/>
      <w:pPr>
        <w:ind w:left="1782" w:hanging="360"/>
      </w:pPr>
    </w:lvl>
    <w:lvl w:ilvl="2" w:tplc="040E001B" w:tentative="1">
      <w:start w:val="1"/>
      <w:numFmt w:val="lowerRoman"/>
      <w:lvlText w:val="%3."/>
      <w:lvlJc w:val="right"/>
      <w:pPr>
        <w:ind w:left="2502" w:hanging="180"/>
      </w:pPr>
    </w:lvl>
    <w:lvl w:ilvl="3" w:tplc="040E000F" w:tentative="1">
      <w:start w:val="1"/>
      <w:numFmt w:val="decimal"/>
      <w:lvlText w:val="%4."/>
      <w:lvlJc w:val="left"/>
      <w:pPr>
        <w:ind w:left="3222" w:hanging="360"/>
      </w:pPr>
    </w:lvl>
    <w:lvl w:ilvl="4" w:tplc="040E0019" w:tentative="1">
      <w:start w:val="1"/>
      <w:numFmt w:val="lowerLetter"/>
      <w:lvlText w:val="%5."/>
      <w:lvlJc w:val="left"/>
      <w:pPr>
        <w:ind w:left="3942" w:hanging="360"/>
      </w:pPr>
    </w:lvl>
    <w:lvl w:ilvl="5" w:tplc="040E001B" w:tentative="1">
      <w:start w:val="1"/>
      <w:numFmt w:val="lowerRoman"/>
      <w:lvlText w:val="%6."/>
      <w:lvlJc w:val="right"/>
      <w:pPr>
        <w:ind w:left="4662" w:hanging="180"/>
      </w:pPr>
    </w:lvl>
    <w:lvl w:ilvl="6" w:tplc="040E000F" w:tentative="1">
      <w:start w:val="1"/>
      <w:numFmt w:val="decimal"/>
      <w:lvlText w:val="%7."/>
      <w:lvlJc w:val="left"/>
      <w:pPr>
        <w:ind w:left="5382" w:hanging="360"/>
      </w:pPr>
    </w:lvl>
    <w:lvl w:ilvl="7" w:tplc="040E0019" w:tentative="1">
      <w:start w:val="1"/>
      <w:numFmt w:val="lowerLetter"/>
      <w:lvlText w:val="%8."/>
      <w:lvlJc w:val="left"/>
      <w:pPr>
        <w:ind w:left="6102" w:hanging="360"/>
      </w:pPr>
    </w:lvl>
    <w:lvl w:ilvl="8" w:tplc="040E001B" w:tentative="1">
      <w:start w:val="1"/>
      <w:numFmt w:val="lowerRoman"/>
      <w:lvlText w:val="%9."/>
      <w:lvlJc w:val="right"/>
      <w:pPr>
        <w:ind w:left="6822" w:hanging="180"/>
      </w:pPr>
    </w:lvl>
  </w:abstractNum>
  <w:abstractNum w:abstractNumId="11">
    <w:nsid w:val="4AF14513"/>
    <w:multiLevelType w:val="hybridMultilevel"/>
    <w:tmpl w:val="00A4FB04"/>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
    <w:nsid w:val="52AD724B"/>
    <w:multiLevelType w:val="hybridMultilevel"/>
    <w:tmpl w:val="00A4FB04"/>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3">
    <w:nsid w:val="53C44295"/>
    <w:multiLevelType w:val="hybridMultilevel"/>
    <w:tmpl w:val="216A46E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4767A69"/>
    <w:multiLevelType w:val="hybridMultilevel"/>
    <w:tmpl w:val="3C6A0A5E"/>
    <w:lvl w:ilvl="0" w:tplc="12C09330">
      <w:start w:val="1"/>
      <w:numFmt w:val="lowerLetter"/>
      <w:lvlText w:val="%1)"/>
      <w:lvlJc w:val="left"/>
      <w:pPr>
        <w:ind w:left="1061" w:hanging="360"/>
      </w:pPr>
      <w:rPr>
        <w:rFonts w:hint="default"/>
      </w:rPr>
    </w:lvl>
    <w:lvl w:ilvl="1" w:tplc="040E0019" w:tentative="1">
      <w:start w:val="1"/>
      <w:numFmt w:val="lowerLetter"/>
      <w:lvlText w:val="%2."/>
      <w:lvlJc w:val="left"/>
      <w:pPr>
        <w:ind w:left="1781" w:hanging="360"/>
      </w:pPr>
    </w:lvl>
    <w:lvl w:ilvl="2" w:tplc="040E001B" w:tentative="1">
      <w:start w:val="1"/>
      <w:numFmt w:val="lowerRoman"/>
      <w:lvlText w:val="%3."/>
      <w:lvlJc w:val="right"/>
      <w:pPr>
        <w:ind w:left="2501" w:hanging="180"/>
      </w:pPr>
    </w:lvl>
    <w:lvl w:ilvl="3" w:tplc="040E000F" w:tentative="1">
      <w:start w:val="1"/>
      <w:numFmt w:val="decimal"/>
      <w:lvlText w:val="%4."/>
      <w:lvlJc w:val="left"/>
      <w:pPr>
        <w:ind w:left="3221" w:hanging="360"/>
      </w:pPr>
    </w:lvl>
    <w:lvl w:ilvl="4" w:tplc="040E0019" w:tentative="1">
      <w:start w:val="1"/>
      <w:numFmt w:val="lowerLetter"/>
      <w:lvlText w:val="%5."/>
      <w:lvlJc w:val="left"/>
      <w:pPr>
        <w:ind w:left="3941" w:hanging="360"/>
      </w:pPr>
    </w:lvl>
    <w:lvl w:ilvl="5" w:tplc="040E001B" w:tentative="1">
      <w:start w:val="1"/>
      <w:numFmt w:val="lowerRoman"/>
      <w:lvlText w:val="%6."/>
      <w:lvlJc w:val="right"/>
      <w:pPr>
        <w:ind w:left="4661" w:hanging="180"/>
      </w:pPr>
    </w:lvl>
    <w:lvl w:ilvl="6" w:tplc="040E000F" w:tentative="1">
      <w:start w:val="1"/>
      <w:numFmt w:val="decimal"/>
      <w:lvlText w:val="%7."/>
      <w:lvlJc w:val="left"/>
      <w:pPr>
        <w:ind w:left="5381" w:hanging="360"/>
      </w:pPr>
    </w:lvl>
    <w:lvl w:ilvl="7" w:tplc="040E0019" w:tentative="1">
      <w:start w:val="1"/>
      <w:numFmt w:val="lowerLetter"/>
      <w:lvlText w:val="%8."/>
      <w:lvlJc w:val="left"/>
      <w:pPr>
        <w:ind w:left="6101" w:hanging="360"/>
      </w:pPr>
    </w:lvl>
    <w:lvl w:ilvl="8" w:tplc="040E001B" w:tentative="1">
      <w:start w:val="1"/>
      <w:numFmt w:val="lowerRoman"/>
      <w:lvlText w:val="%9."/>
      <w:lvlJc w:val="right"/>
      <w:pPr>
        <w:ind w:left="6821" w:hanging="180"/>
      </w:pPr>
    </w:lvl>
  </w:abstractNum>
  <w:abstractNum w:abstractNumId="15">
    <w:nsid w:val="5EB91E0F"/>
    <w:multiLevelType w:val="hybridMultilevel"/>
    <w:tmpl w:val="645EF1FA"/>
    <w:lvl w:ilvl="0" w:tplc="040E0019">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6">
    <w:nsid w:val="644919D6"/>
    <w:multiLevelType w:val="hybridMultilevel"/>
    <w:tmpl w:val="069C11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67C4375"/>
    <w:multiLevelType w:val="hybridMultilevel"/>
    <w:tmpl w:val="419C8D98"/>
    <w:lvl w:ilvl="0" w:tplc="7AA0CA8E">
      <w:start w:val="1"/>
      <w:numFmt w:val="lowerLetter"/>
      <w:lvlText w:val="%1."/>
      <w:lvlJc w:val="left"/>
      <w:pPr>
        <w:ind w:left="144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68404B7"/>
    <w:multiLevelType w:val="hybridMultilevel"/>
    <w:tmpl w:val="00A4FB04"/>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nsid w:val="7A207AEA"/>
    <w:multiLevelType w:val="hybridMultilevel"/>
    <w:tmpl w:val="645EF1FA"/>
    <w:lvl w:ilvl="0" w:tplc="040E0019">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0">
    <w:nsid w:val="7BE304CD"/>
    <w:multiLevelType w:val="hybridMultilevel"/>
    <w:tmpl w:val="24B0D604"/>
    <w:lvl w:ilvl="0" w:tplc="040E000F">
      <w:start w:val="1"/>
      <w:numFmt w:val="decimal"/>
      <w:lvlText w:val="%1."/>
      <w:lvlJc w:val="left"/>
      <w:pPr>
        <w:ind w:left="720" w:hanging="360"/>
      </w:pPr>
    </w:lvl>
    <w:lvl w:ilvl="1" w:tplc="7AA0CA8E">
      <w:start w:val="1"/>
      <w:numFmt w:val="lowerLetter"/>
      <w:lvlText w:val="%2."/>
      <w:lvlJc w:val="left"/>
      <w:pPr>
        <w:ind w:left="1440" w:hanging="360"/>
      </w:pPr>
      <w:rPr>
        <w:b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0"/>
  </w:num>
  <w:num w:numId="2">
    <w:abstractNumId w:val="2"/>
  </w:num>
  <w:num w:numId="3">
    <w:abstractNumId w:val="3"/>
  </w:num>
  <w:num w:numId="4">
    <w:abstractNumId w:val="0"/>
  </w:num>
  <w:num w:numId="5">
    <w:abstractNumId w:val="19"/>
  </w:num>
  <w:num w:numId="6">
    <w:abstractNumId w:val="8"/>
  </w:num>
  <w:num w:numId="7">
    <w:abstractNumId w:val="5"/>
  </w:num>
  <w:num w:numId="8">
    <w:abstractNumId w:val="16"/>
  </w:num>
  <w:num w:numId="9">
    <w:abstractNumId w:val="4"/>
  </w:num>
  <w:num w:numId="10">
    <w:abstractNumId w:val="10"/>
  </w:num>
  <w:num w:numId="11">
    <w:abstractNumId w:val="14"/>
  </w:num>
  <w:num w:numId="12">
    <w:abstractNumId w:val="12"/>
  </w:num>
  <w:num w:numId="13">
    <w:abstractNumId w:val="7"/>
  </w:num>
  <w:num w:numId="14">
    <w:abstractNumId w:val="11"/>
  </w:num>
  <w:num w:numId="15">
    <w:abstractNumId w:val="18"/>
  </w:num>
  <w:num w:numId="16">
    <w:abstractNumId w:val="17"/>
  </w:num>
  <w:num w:numId="17">
    <w:abstractNumId w:val="15"/>
  </w:num>
  <w:num w:numId="18">
    <w:abstractNumId w:val="6"/>
  </w:num>
  <w:num w:numId="19">
    <w:abstractNumId w:val="9"/>
  </w:num>
  <w:num w:numId="20">
    <w:abstractNumId w:val="1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efaultTabStop w:val="708"/>
  <w:hyphenationZone w:val="425"/>
  <w:characterSpacingControl w:val="doNotCompress"/>
  <w:hdrShapeDefaults>
    <o:shapedefaults v:ext="edit" spidmax="59394"/>
  </w:hdrShapeDefaults>
  <w:footnotePr>
    <w:footnote w:id="-1"/>
    <w:footnote w:id="0"/>
  </w:footnotePr>
  <w:endnotePr>
    <w:endnote w:id="-1"/>
    <w:endnote w:id="0"/>
  </w:endnotePr>
  <w:compat/>
  <w:rsids>
    <w:rsidRoot w:val="00504B8C"/>
    <w:rsid w:val="000027C9"/>
    <w:rsid w:val="00014381"/>
    <w:rsid w:val="00015135"/>
    <w:rsid w:val="0002282B"/>
    <w:rsid w:val="00027757"/>
    <w:rsid w:val="00031020"/>
    <w:rsid w:val="00045FE4"/>
    <w:rsid w:val="00050030"/>
    <w:rsid w:val="000502D4"/>
    <w:rsid w:val="00055C96"/>
    <w:rsid w:val="00061389"/>
    <w:rsid w:val="000644AB"/>
    <w:rsid w:val="00066E07"/>
    <w:rsid w:val="000670DE"/>
    <w:rsid w:val="00067A4E"/>
    <w:rsid w:val="00090B7E"/>
    <w:rsid w:val="00095D08"/>
    <w:rsid w:val="000A08BB"/>
    <w:rsid w:val="000B136B"/>
    <w:rsid w:val="000B4104"/>
    <w:rsid w:val="000C1F58"/>
    <w:rsid w:val="000D21E6"/>
    <w:rsid w:val="000F4A42"/>
    <w:rsid w:val="001054E6"/>
    <w:rsid w:val="00113A82"/>
    <w:rsid w:val="00113D9E"/>
    <w:rsid w:val="00114404"/>
    <w:rsid w:val="00121575"/>
    <w:rsid w:val="00133E40"/>
    <w:rsid w:val="00145B0B"/>
    <w:rsid w:val="00150E78"/>
    <w:rsid w:val="00162130"/>
    <w:rsid w:val="00163215"/>
    <w:rsid w:val="001723DB"/>
    <w:rsid w:val="001835FF"/>
    <w:rsid w:val="001838F4"/>
    <w:rsid w:val="001A3A90"/>
    <w:rsid w:val="001C4266"/>
    <w:rsid w:val="001C51DE"/>
    <w:rsid w:val="001D02C3"/>
    <w:rsid w:val="001D5AC4"/>
    <w:rsid w:val="001F4732"/>
    <w:rsid w:val="00220CA1"/>
    <w:rsid w:val="00250C3F"/>
    <w:rsid w:val="002702CD"/>
    <w:rsid w:val="00270886"/>
    <w:rsid w:val="00274F14"/>
    <w:rsid w:val="00294DED"/>
    <w:rsid w:val="00295EA2"/>
    <w:rsid w:val="0029756A"/>
    <w:rsid w:val="002A580A"/>
    <w:rsid w:val="002B65A2"/>
    <w:rsid w:val="002C339F"/>
    <w:rsid w:val="002D551C"/>
    <w:rsid w:val="002E2FBF"/>
    <w:rsid w:val="002F0334"/>
    <w:rsid w:val="003007B0"/>
    <w:rsid w:val="0030101A"/>
    <w:rsid w:val="00301657"/>
    <w:rsid w:val="00311429"/>
    <w:rsid w:val="00332E0C"/>
    <w:rsid w:val="00335965"/>
    <w:rsid w:val="0033694F"/>
    <w:rsid w:val="0034087C"/>
    <w:rsid w:val="0034141A"/>
    <w:rsid w:val="003416DB"/>
    <w:rsid w:val="003420D4"/>
    <w:rsid w:val="0034687B"/>
    <w:rsid w:val="00350AC1"/>
    <w:rsid w:val="00351817"/>
    <w:rsid w:val="003538C9"/>
    <w:rsid w:val="0035405A"/>
    <w:rsid w:val="003633FB"/>
    <w:rsid w:val="00374C0E"/>
    <w:rsid w:val="00385E91"/>
    <w:rsid w:val="00386722"/>
    <w:rsid w:val="00390C75"/>
    <w:rsid w:val="0039346E"/>
    <w:rsid w:val="00396F65"/>
    <w:rsid w:val="003A5E30"/>
    <w:rsid w:val="003A62D8"/>
    <w:rsid w:val="003B5D4F"/>
    <w:rsid w:val="003B7F7B"/>
    <w:rsid w:val="003C2191"/>
    <w:rsid w:val="003C6297"/>
    <w:rsid w:val="003D556D"/>
    <w:rsid w:val="003D5677"/>
    <w:rsid w:val="003E1609"/>
    <w:rsid w:val="003E5A36"/>
    <w:rsid w:val="003F29E2"/>
    <w:rsid w:val="003F3266"/>
    <w:rsid w:val="003F7221"/>
    <w:rsid w:val="003F7C8D"/>
    <w:rsid w:val="00404664"/>
    <w:rsid w:val="0041397A"/>
    <w:rsid w:val="00413E80"/>
    <w:rsid w:val="004158C7"/>
    <w:rsid w:val="00431AAD"/>
    <w:rsid w:val="004362C8"/>
    <w:rsid w:val="00437F47"/>
    <w:rsid w:val="00442BC6"/>
    <w:rsid w:val="00460DEE"/>
    <w:rsid w:val="00467493"/>
    <w:rsid w:val="00470C44"/>
    <w:rsid w:val="00475FAF"/>
    <w:rsid w:val="004A374A"/>
    <w:rsid w:val="004A51DB"/>
    <w:rsid w:val="004A7BC9"/>
    <w:rsid w:val="004B4360"/>
    <w:rsid w:val="004B55CC"/>
    <w:rsid w:val="004B65BD"/>
    <w:rsid w:val="004C4F6C"/>
    <w:rsid w:val="004C50DD"/>
    <w:rsid w:val="004C5429"/>
    <w:rsid w:val="004D3604"/>
    <w:rsid w:val="004D3D63"/>
    <w:rsid w:val="004D48CE"/>
    <w:rsid w:val="004D7E56"/>
    <w:rsid w:val="004E4240"/>
    <w:rsid w:val="004E5A31"/>
    <w:rsid w:val="00501068"/>
    <w:rsid w:val="0050330D"/>
    <w:rsid w:val="005038FB"/>
    <w:rsid w:val="00504B8C"/>
    <w:rsid w:val="00504D30"/>
    <w:rsid w:val="005145AE"/>
    <w:rsid w:val="00524269"/>
    <w:rsid w:val="005339FB"/>
    <w:rsid w:val="00534739"/>
    <w:rsid w:val="005351A8"/>
    <w:rsid w:val="0053595F"/>
    <w:rsid w:val="00542B70"/>
    <w:rsid w:val="00554546"/>
    <w:rsid w:val="00564FD8"/>
    <w:rsid w:val="0056503A"/>
    <w:rsid w:val="0058131D"/>
    <w:rsid w:val="00596AE2"/>
    <w:rsid w:val="005B5B55"/>
    <w:rsid w:val="005E0C6A"/>
    <w:rsid w:val="005F4310"/>
    <w:rsid w:val="005F527E"/>
    <w:rsid w:val="00600A6D"/>
    <w:rsid w:val="00601ED1"/>
    <w:rsid w:val="00607C5C"/>
    <w:rsid w:val="00612351"/>
    <w:rsid w:val="006147F5"/>
    <w:rsid w:val="0061506D"/>
    <w:rsid w:val="00617004"/>
    <w:rsid w:val="0063061F"/>
    <w:rsid w:val="0063463D"/>
    <w:rsid w:val="006352B2"/>
    <w:rsid w:val="00635684"/>
    <w:rsid w:val="00660987"/>
    <w:rsid w:val="00665F03"/>
    <w:rsid w:val="00676BEB"/>
    <w:rsid w:val="00680C88"/>
    <w:rsid w:val="006825AA"/>
    <w:rsid w:val="00684BEB"/>
    <w:rsid w:val="006852B0"/>
    <w:rsid w:val="00692244"/>
    <w:rsid w:val="00697F18"/>
    <w:rsid w:val="006B28DC"/>
    <w:rsid w:val="006B3867"/>
    <w:rsid w:val="006B5094"/>
    <w:rsid w:val="006C2818"/>
    <w:rsid w:val="006C6B90"/>
    <w:rsid w:val="006E0F48"/>
    <w:rsid w:val="006E5C15"/>
    <w:rsid w:val="006E7002"/>
    <w:rsid w:val="00710603"/>
    <w:rsid w:val="00723686"/>
    <w:rsid w:val="00726353"/>
    <w:rsid w:val="00735787"/>
    <w:rsid w:val="00735CD9"/>
    <w:rsid w:val="00740D7C"/>
    <w:rsid w:val="007434D5"/>
    <w:rsid w:val="007574C6"/>
    <w:rsid w:val="007576E5"/>
    <w:rsid w:val="0076260D"/>
    <w:rsid w:val="00764396"/>
    <w:rsid w:val="00772E96"/>
    <w:rsid w:val="00781D99"/>
    <w:rsid w:val="00785E5B"/>
    <w:rsid w:val="00791ED6"/>
    <w:rsid w:val="00792A85"/>
    <w:rsid w:val="007C3EC0"/>
    <w:rsid w:val="007D2FEC"/>
    <w:rsid w:val="007E3CB7"/>
    <w:rsid w:val="007E767A"/>
    <w:rsid w:val="007F7B6E"/>
    <w:rsid w:val="00801C13"/>
    <w:rsid w:val="00817C79"/>
    <w:rsid w:val="00821AEF"/>
    <w:rsid w:val="008238E8"/>
    <w:rsid w:val="0082415A"/>
    <w:rsid w:val="0082434E"/>
    <w:rsid w:val="0083153F"/>
    <w:rsid w:val="00832AEC"/>
    <w:rsid w:val="00833EEC"/>
    <w:rsid w:val="008369DB"/>
    <w:rsid w:val="00836A0E"/>
    <w:rsid w:val="00840273"/>
    <w:rsid w:val="00844B0C"/>
    <w:rsid w:val="00850BC7"/>
    <w:rsid w:val="00871BE9"/>
    <w:rsid w:val="008765BE"/>
    <w:rsid w:val="008800A7"/>
    <w:rsid w:val="00894B73"/>
    <w:rsid w:val="008A5EEB"/>
    <w:rsid w:val="008A770A"/>
    <w:rsid w:val="008B1501"/>
    <w:rsid w:val="008B2B3D"/>
    <w:rsid w:val="008B3EBC"/>
    <w:rsid w:val="008B54BA"/>
    <w:rsid w:val="008B5D20"/>
    <w:rsid w:val="008C0844"/>
    <w:rsid w:val="008C67AD"/>
    <w:rsid w:val="008D2460"/>
    <w:rsid w:val="008D28CE"/>
    <w:rsid w:val="008D444A"/>
    <w:rsid w:val="008E0B51"/>
    <w:rsid w:val="008E3A4A"/>
    <w:rsid w:val="0090752C"/>
    <w:rsid w:val="0091230A"/>
    <w:rsid w:val="00912FA9"/>
    <w:rsid w:val="0092161F"/>
    <w:rsid w:val="009219AE"/>
    <w:rsid w:val="00924EE4"/>
    <w:rsid w:val="00925ACD"/>
    <w:rsid w:val="0093493A"/>
    <w:rsid w:val="00936C91"/>
    <w:rsid w:val="009419AF"/>
    <w:rsid w:val="00942A39"/>
    <w:rsid w:val="0094638D"/>
    <w:rsid w:val="00947B08"/>
    <w:rsid w:val="0095619C"/>
    <w:rsid w:val="009602A8"/>
    <w:rsid w:val="00961C57"/>
    <w:rsid w:val="00973574"/>
    <w:rsid w:val="009764E6"/>
    <w:rsid w:val="00984E9D"/>
    <w:rsid w:val="00994247"/>
    <w:rsid w:val="009A1557"/>
    <w:rsid w:val="009A6574"/>
    <w:rsid w:val="009C4024"/>
    <w:rsid w:val="009C66DE"/>
    <w:rsid w:val="009E02FA"/>
    <w:rsid w:val="009F0A8C"/>
    <w:rsid w:val="009F149E"/>
    <w:rsid w:val="009F1CF0"/>
    <w:rsid w:val="009F1E7F"/>
    <w:rsid w:val="009F6E67"/>
    <w:rsid w:val="00A05BB4"/>
    <w:rsid w:val="00A27F87"/>
    <w:rsid w:val="00A40E80"/>
    <w:rsid w:val="00A41C40"/>
    <w:rsid w:val="00A4736A"/>
    <w:rsid w:val="00A51677"/>
    <w:rsid w:val="00A5204E"/>
    <w:rsid w:val="00A5522B"/>
    <w:rsid w:val="00A61952"/>
    <w:rsid w:val="00AD7F1E"/>
    <w:rsid w:val="00AF3E48"/>
    <w:rsid w:val="00AF48B7"/>
    <w:rsid w:val="00AF6743"/>
    <w:rsid w:val="00B014DB"/>
    <w:rsid w:val="00B1370F"/>
    <w:rsid w:val="00B15ECE"/>
    <w:rsid w:val="00B17B98"/>
    <w:rsid w:val="00B23A14"/>
    <w:rsid w:val="00B24CF6"/>
    <w:rsid w:val="00B26722"/>
    <w:rsid w:val="00B27D0A"/>
    <w:rsid w:val="00B317D3"/>
    <w:rsid w:val="00B33A3F"/>
    <w:rsid w:val="00B53C77"/>
    <w:rsid w:val="00B80C5D"/>
    <w:rsid w:val="00BC0820"/>
    <w:rsid w:val="00BC15C8"/>
    <w:rsid w:val="00BC698A"/>
    <w:rsid w:val="00BF4587"/>
    <w:rsid w:val="00BF5F8A"/>
    <w:rsid w:val="00C058E9"/>
    <w:rsid w:val="00C05BAD"/>
    <w:rsid w:val="00C13CB9"/>
    <w:rsid w:val="00C27900"/>
    <w:rsid w:val="00C33949"/>
    <w:rsid w:val="00C37940"/>
    <w:rsid w:val="00C43F8A"/>
    <w:rsid w:val="00C518D2"/>
    <w:rsid w:val="00C536E4"/>
    <w:rsid w:val="00C65DF0"/>
    <w:rsid w:val="00C82486"/>
    <w:rsid w:val="00C916FA"/>
    <w:rsid w:val="00CA1D2F"/>
    <w:rsid w:val="00CB0CCB"/>
    <w:rsid w:val="00CB0D53"/>
    <w:rsid w:val="00CB3BA0"/>
    <w:rsid w:val="00CB4240"/>
    <w:rsid w:val="00CB6125"/>
    <w:rsid w:val="00CC0701"/>
    <w:rsid w:val="00CC7962"/>
    <w:rsid w:val="00CD72F0"/>
    <w:rsid w:val="00CE3870"/>
    <w:rsid w:val="00CF3C06"/>
    <w:rsid w:val="00CF45DD"/>
    <w:rsid w:val="00D041FE"/>
    <w:rsid w:val="00D43EBE"/>
    <w:rsid w:val="00D44A1B"/>
    <w:rsid w:val="00D52271"/>
    <w:rsid w:val="00D74769"/>
    <w:rsid w:val="00D90D85"/>
    <w:rsid w:val="00D97390"/>
    <w:rsid w:val="00D97C21"/>
    <w:rsid w:val="00DA0BC7"/>
    <w:rsid w:val="00DA5681"/>
    <w:rsid w:val="00DA76C9"/>
    <w:rsid w:val="00DB3817"/>
    <w:rsid w:val="00DC38CD"/>
    <w:rsid w:val="00DD1CF4"/>
    <w:rsid w:val="00DD3BC9"/>
    <w:rsid w:val="00DD45DB"/>
    <w:rsid w:val="00DE1B05"/>
    <w:rsid w:val="00DF187D"/>
    <w:rsid w:val="00DF1CCA"/>
    <w:rsid w:val="00E2709C"/>
    <w:rsid w:val="00E27225"/>
    <w:rsid w:val="00E32ADC"/>
    <w:rsid w:val="00E3408D"/>
    <w:rsid w:val="00E35F66"/>
    <w:rsid w:val="00E45502"/>
    <w:rsid w:val="00E524A7"/>
    <w:rsid w:val="00E549F3"/>
    <w:rsid w:val="00E54BDD"/>
    <w:rsid w:val="00E578C7"/>
    <w:rsid w:val="00E71B30"/>
    <w:rsid w:val="00E730F1"/>
    <w:rsid w:val="00E73479"/>
    <w:rsid w:val="00E76C2C"/>
    <w:rsid w:val="00E77541"/>
    <w:rsid w:val="00E902D4"/>
    <w:rsid w:val="00E9491C"/>
    <w:rsid w:val="00E952E3"/>
    <w:rsid w:val="00EB52F8"/>
    <w:rsid w:val="00EC38C9"/>
    <w:rsid w:val="00EC63B0"/>
    <w:rsid w:val="00ED2BB8"/>
    <w:rsid w:val="00ED4958"/>
    <w:rsid w:val="00ED6A54"/>
    <w:rsid w:val="00EE19F6"/>
    <w:rsid w:val="00EF1EDA"/>
    <w:rsid w:val="00EF7219"/>
    <w:rsid w:val="00EF789D"/>
    <w:rsid w:val="00F04BDD"/>
    <w:rsid w:val="00F0550E"/>
    <w:rsid w:val="00F2473B"/>
    <w:rsid w:val="00F30477"/>
    <w:rsid w:val="00F43D01"/>
    <w:rsid w:val="00F56A43"/>
    <w:rsid w:val="00F60A80"/>
    <w:rsid w:val="00F60F46"/>
    <w:rsid w:val="00F61227"/>
    <w:rsid w:val="00F73F04"/>
    <w:rsid w:val="00F75BCF"/>
    <w:rsid w:val="00F8479C"/>
    <w:rsid w:val="00F95047"/>
    <w:rsid w:val="00F97695"/>
    <w:rsid w:val="00FA2BEE"/>
    <w:rsid w:val="00FA6ADE"/>
    <w:rsid w:val="00FB0389"/>
    <w:rsid w:val="00FC03C8"/>
    <w:rsid w:val="00FE44E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04B8C"/>
    <w:pPr>
      <w:spacing w:after="200" w:line="276" w:lineRule="auto"/>
    </w:pPr>
    <w:rPr>
      <w:rFonts w:ascii="Calibri" w:eastAsia="Calibri" w:hAnsi="Calibri"/>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Paragraph1">
    <w:name w:val="List Paragraph1"/>
    <w:basedOn w:val="Norml"/>
    <w:uiPriority w:val="34"/>
    <w:qFormat/>
    <w:rsid w:val="00504B8C"/>
    <w:pPr>
      <w:ind w:left="720"/>
      <w:contextualSpacing/>
    </w:pPr>
  </w:style>
  <w:style w:type="paragraph" w:styleId="llb">
    <w:name w:val="footer"/>
    <w:basedOn w:val="Norml"/>
    <w:link w:val="llbChar"/>
    <w:uiPriority w:val="99"/>
    <w:unhideWhenUsed/>
    <w:rsid w:val="00504B8C"/>
    <w:pPr>
      <w:tabs>
        <w:tab w:val="center" w:pos="4536"/>
        <w:tab w:val="right" w:pos="9072"/>
      </w:tabs>
    </w:pPr>
  </w:style>
  <w:style w:type="character" w:customStyle="1" w:styleId="llbChar">
    <w:name w:val="Élőláb Char"/>
    <w:basedOn w:val="Bekezdsalapbettpusa"/>
    <w:link w:val="llb"/>
    <w:uiPriority w:val="99"/>
    <w:rsid w:val="00504B8C"/>
    <w:rPr>
      <w:rFonts w:ascii="Calibri" w:eastAsia="Calibri" w:hAnsi="Calibri"/>
      <w:sz w:val="22"/>
      <w:szCs w:val="22"/>
      <w:lang w:eastAsia="en-US"/>
    </w:rPr>
  </w:style>
  <w:style w:type="paragraph" w:styleId="lfej">
    <w:name w:val="header"/>
    <w:basedOn w:val="Norml"/>
    <w:link w:val="lfejChar"/>
    <w:uiPriority w:val="99"/>
    <w:semiHidden/>
    <w:unhideWhenUsed/>
    <w:rsid w:val="00090B7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090B7E"/>
    <w:rPr>
      <w:rFonts w:ascii="Calibri" w:eastAsia="Calibri" w:hAnsi="Calibri"/>
      <w:sz w:val="22"/>
      <w:szCs w:val="22"/>
      <w:lang w:eastAsia="en-US"/>
    </w:rPr>
  </w:style>
  <w:style w:type="paragraph" w:styleId="Buborkszveg">
    <w:name w:val="Balloon Text"/>
    <w:basedOn w:val="Norml"/>
    <w:link w:val="BuborkszvegChar"/>
    <w:uiPriority w:val="99"/>
    <w:semiHidden/>
    <w:unhideWhenUsed/>
    <w:rsid w:val="00090B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90B7E"/>
    <w:rPr>
      <w:rFonts w:ascii="Tahoma" w:eastAsia="Calibri" w:hAnsi="Tahoma" w:cs="Tahoma"/>
      <w:sz w:val="16"/>
      <w:szCs w:val="16"/>
      <w:lang w:eastAsia="en-US"/>
    </w:rPr>
  </w:style>
  <w:style w:type="character" w:styleId="Jegyzethivatkozs">
    <w:name w:val="annotation reference"/>
    <w:basedOn w:val="Bekezdsalapbettpusa"/>
    <w:uiPriority w:val="99"/>
    <w:semiHidden/>
    <w:unhideWhenUsed/>
    <w:rsid w:val="00FC03C8"/>
    <w:rPr>
      <w:sz w:val="16"/>
      <w:szCs w:val="16"/>
    </w:rPr>
  </w:style>
  <w:style w:type="paragraph" w:styleId="Jegyzetszveg">
    <w:name w:val="annotation text"/>
    <w:basedOn w:val="Norml"/>
    <w:link w:val="JegyzetszvegChar"/>
    <w:uiPriority w:val="99"/>
    <w:semiHidden/>
    <w:unhideWhenUsed/>
    <w:rsid w:val="00FC03C8"/>
    <w:pPr>
      <w:spacing w:line="240" w:lineRule="auto"/>
    </w:pPr>
    <w:rPr>
      <w:sz w:val="20"/>
      <w:szCs w:val="20"/>
    </w:rPr>
  </w:style>
  <w:style w:type="character" w:customStyle="1" w:styleId="JegyzetszvegChar">
    <w:name w:val="Jegyzetszöveg Char"/>
    <w:basedOn w:val="Bekezdsalapbettpusa"/>
    <w:link w:val="Jegyzetszveg"/>
    <w:uiPriority w:val="99"/>
    <w:semiHidden/>
    <w:rsid w:val="00FC03C8"/>
    <w:rPr>
      <w:rFonts w:ascii="Calibri" w:eastAsia="Calibri" w:hAnsi="Calibri"/>
      <w:lang w:eastAsia="en-US"/>
    </w:rPr>
  </w:style>
  <w:style w:type="paragraph" w:styleId="Megjegyzstrgya">
    <w:name w:val="annotation subject"/>
    <w:basedOn w:val="Jegyzetszveg"/>
    <w:next w:val="Jegyzetszveg"/>
    <w:link w:val="MegjegyzstrgyaChar"/>
    <w:uiPriority w:val="99"/>
    <w:semiHidden/>
    <w:unhideWhenUsed/>
    <w:rsid w:val="00FC03C8"/>
    <w:rPr>
      <w:b/>
      <w:bCs/>
    </w:rPr>
  </w:style>
  <w:style w:type="character" w:customStyle="1" w:styleId="MegjegyzstrgyaChar">
    <w:name w:val="Megjegyzés tárgya Char"/>
    <w:basedOn w:val="JegyzetszvegChar"/>
    <w:link w:val="Megjegyzstrgya"/>
    <w:uiPriority w:val="99"/>
    <w:semiHidden/>
    <w:rsid w:val="00FC03C8"/>
    <w:rPr>
      <w:b/>
      <w:bCs/>
    </w:rPr>
  </w:style>
  <w:style w:type="character" w:styleId="Kiemels2">
    <w:name w:val="Strong"/>
    <w:basedOn w:val="Bekezdsalapbettpusa"/>
    <w:uiPriority w:val="22"/>
    <w:qFormat/>
    <w:rsid w:val="00220CA1"/>
    <w:rPr>
      <w:b/>
      <w:bCs/>
    </w:rPr>
  </w:style>
  <w:style w:type="paragraph" w:styleId="Dokumentumtrkp">
    <w:name w:val="Document Map"/>
    <w:basedOn w:val="Norml"/>
    <w:semiHidden/>
    <w:rsid w:val="00E549F3"/>
    <w:pPr>
      <w:shd w:val="clear" w:color="auto" w:fill="000080"/>
    </w:pPr>
    <w:rPr>
      <w:rFonts w:ascii="Tahoma" w:hAnsi="Tahoma" w:cs="Tahoma"/>
      <w:sz w:val="20"/>
      <w:szCs w:val="20"/>
    </w:rPr>
  </w:style>
  <w:style w:type="paragraph" w:styleId="Vltozat">
    <w:name w:val="Revision"/>
    <w:hidden/>
    <w:uiPriority w:val="99"/>
    <w:semiHidden/>
    <w:rsid w:val="00431AAD"/>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076a69f7-d516-4c54-bf0e-1c55319ec8b0"/>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01912DED-1E37-4351-8D16-207E5D50FB22}"/>
</file>

<file path=customXml/itemProps2.xml><?xml version="1.0" encoding="utf-8"?>
<ds:datastoreItem xmlns:ds="http://schemas.openxmlformats.org/officeDocument/2006/customXml" ds:itemID="{44B3DE17-5363-40A3-B839-899CCDA08FC5}"/>
</file>

<file path=customXml/itemProps3.xml><?xml version="1.0" encoding="utf-8"?>
<ds:datastoreItem xmlns:ds="http://schemas.openxmlformats.org/officeDocument/2006/customXml" ds:itemID="{D187ECE1-85BE-4FB6-9516-DD47EF39DBD7}"/>
</file>

<file path=docProps/app.xml><?xml version="1.0" encoding="utf-8"?>
<Properties xmlns="http://schemas.openxmlformats.org/officeDocument/2006/extended-properties" xmlns:vt="http://schemas.openxmlformats.org/officeDocument/2006/docPropsVTypes">
  <Template>Normal</Template>
  <TotalTime>0</TotalTime>
  <Pages>7</Pages>
  <Words>2250</Words>
  <Characters>15525</Characters>
  <Application>Microsoft Office Word</Application>
  <DocSecurity>0</DocSecurity>
  <Lines>129</Lines>
  <Paragraphs>35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LinksUpToDate>false</LinksUpToDate>
  <CharactersWithSpaces>17740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Szándéknyilatkozat - vízművek</dc:title>
  <dc:creator/>
  <cp:lastModifiedBy/>
  <cp:revision>1</cp:revision>
  <dcterms:created xsi:type="dcterms:W3CDTF">2012-03-26T14:35:00Z</dcterms:created>
  <dcterms:modified xsi:type="dcterms:W3CDTF">2012-03-26T14:35:00Z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